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3DAD" w:rsidRDefault="00C03DAD" w:rsidP="00C03DA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10"/>
          <w:szCs w:val="10"/>
        </w:rPr>
      </w:pPr>
    </w:p>
    <w:p w:rsidR="00C03DAD" w:rsidRPr="00203480" w:rsidRDefault="00C03DAD" w:rsidP="00C03DA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10"/>
          <w:szCs w:val="10"/>
        </w:rPr>
      </w:pPr>
    </w:p>
    <w:p w:rsidR="00C03DAD" w:rsidRPr="00203480" w:rsidRDefault="00C03DAD" w:rsidP="00C03DAD">
      <w:pPr>
        <w:pStyle w:val="Paragraphedeliste"/>
        <w:numPr>
          <w:ilvl w:val="0"/>
          <w:numId w:val="1"/>
        </w:numPr>
        <w:spacing w:line="240" w:lineRule="atLeast"/>
        <w:ind w:left="360" w:right="-56"/>
        <w:jc w:val="both"/>
        <w:rPr>
          <w:rFonts w:asciiTheme="majorHAnsi" w:hAnsiTheme="majorHAnsi" w:cs="Arial"/>
          <w:b/>
          <w:bCs/>
          <w:color w:val="FFC000" w:themeColor="accent4"/>
          <w:sz w:val="19"/>
          <w:szCs w:val="19"/>
        </w:rPr>
      </w:pPr>
      <w:r w:rsidRPr="00203480">
        <w:rPr>
          <w:rFonts w:asciiTheme="majorHAnsi" w:hAnsiTheme="majorHAnsi" w:cs="Arial"/>
          <w:b/>
          <w:bCs/>
          <w:color w:val="FFC000" w:themeColor="accent4"/>
          <w:sz w:val="19"/>
          <w:szCs w:val="19"/>
        </w:rPr>
        <w:t>RELATIONS DE COOPERATION AU NIVEAU INTERNATIONAL :</w:t>
      </w:r>
    </w:p>
    <w:p w:rsidR="00C03DAD" w:rsidRPr="00203480" w:rsidRDefault="00C03DAD" w:rsidP="00C03DAD">
      <w:pPr>
        <w:kinsoku w:val="0"/>
        <w:overflowPunct w:val="0"/>
        <w:ind w:left="284"/>
        <w:jc w:val="both"/>
        <w:textAlignment w:val="baseline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La coopération internationale offre plusieurs possibilités de formation et/ou de mise à jour des connaissances des formateurs (enseignants du supérieur), la mobilité académique des enseignants et des étudiants, la création de réseaux de recherche et de formation. La liste ci-dessous énumère l’ensemble des établissements étrangers où les relations sont entretenues de manière plus ou moins forte en fonction de l’établissement partenaire. </w:t>
      </w:r>
    </w:p>
    <w:p w:rsidR="00C03DAD" w:rsidRPr="00203480" w:rsidRDefault="00C03DAD" w:rsidP="00C03DAD">
      <w:pPr>
        <w:kinsoku w:val="0"/>
        <w:overflowPunct w:val="0"/>
        <w:ind w:left="284"/>
        <w:jc w:val="both"/>
        <w:textAlignment w:val="baseline"/>
        <w:rPr>
          <w:rFonts w:asciiTheme="majorHAnsi" w:hAnsiTheme="majorHAnsi" w:cstheme="majorBidi"/>
          <w:bCs/>
          <w:sz w:val="6"/>
          <w:szCs w:val="6"/>
        </w:rPr>
      </w:pPr>
    </w:p>
    <w:p w:rsidR="00C03DAD" w:rsidRPr="00203480" w:rsidRDefault="00C03DAD" w:rsidP="00C03DAD">
      <w:pPr>
        <w:pStyle w:val="Paragraphedeliste"/>
        <w:numPr>
          <w:ilvl w:val="0"/>
          <w:numId w:val="2"/>
        </w:numPr>
        <w:tabs>
          <w:tab w:val="left" w:pos="360"/>
        </w:tabs>
        <w:ind w:hanging="720"/>
        <w:jc w:val="both"/>
        <w:rPr>
          <w:rFonts w:asciiTheme="majorHAnsi" w:hAnsiTheme="majorHAnsi" w:cs="Arial"/>
          <w:b/>
          <w:bCs/>
          <w:color w:val="00B050"/>
          <w:sz w:val="19"/>
          <w:szCs w:val="19"/>
          <w:u w:val="single"/>
        </w:rPr>
      </w:pPr>
      <w:r w:rsidRPr="00203480">
        <w:rPr>
          <w:rFonts w:asciiTheme="majorHAnsi" w:hAnsiTheme="majorHAnsi" w:cs="Arial"/>
          <w:b/>
          <w:bCs/>
          <w:color w:val="00B050"/>
          <w:sz w:val="19"/>
          <w:szCs w:val="19"/>
          <w:u w:val="single"/>
        </w:rPr>
        <w:t>CONVENTIONS INTERNATIONALES (5</w:t>
      </w:r>
      <w:r w:rsidR="00AD6696">
        <w:rPr>
          <w:rFonts w:asciiTheme="majorHAnsi" w:hAnsiTheme="majorHAnsi" w:cs="Arial"/>
          <w:b/>
          <w:bCs/>
          <w:color w:val="00B050"/>
          <w:sz w:val="19"/>
          <w:szCs w:val="19"/>
          <w:u w:val="single"/>
        </w:rPr>
        <w:t>3</w:t>
      </w:r>
      <w:r w:rsidRPr="00203480">
        <w:rPr>
          <w:rFonts w:asciiTheme="majorHAnsi" w:hAnsiTheme="majorHAnsi" w:cs="Arial"/>
          <w:b/>
          <w:bCs/>
          <w:color w:val="00B050"/>
          <w:sz w:val="19"/>
          <w:szCs w:val="19"/>
          <w:u w:val="single"/>
        </w:rPr>
        <w:t>)</w:t>
      </w:r>
    </w:p>
    <w:p w:rsidR="00C03DAD" w:rsidRPr="00203480" w:rsidRDefault="00C03DAD" w:rsidP="00C03DAD">
      <w:pPr>
        <w:widowControl w:val="0"/>
        <w:tabs>
          <w:tab w:val="num" w:pos="426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/>
          <w:bCs/>
          <w:color w:val="FF0000"/>
          <w:sz w:val="6"/>
          <w:szCs w:val="6"/>
          <w:u w:val="single"/>
        </w:rPr>
      </w:pPr>
    </w:p>
    <w:p w:rsidR="00C03DAD" w:rsidRPr="00203480" w:rsidRDefault="00C03DAD" w:rsidP="00C03DAD">
      <w:pPr>
        <w:widowControl w:val="0"/>
        <w:tabs>
          <w:tab w:val="num" w:pos="426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/>
          <w:bCs/>
          <w:sz w:val="19"/>
          <w:szCs w:val="19"/>
          <w:u w:val="single"/>
        </w:rPr>
      </w:pPr>
      <w:r w:rsidRPr="00203480">
        <w:rPr>
          <w:rFonts w:asciiTheme="majorHAnsi" w:hAnsiTheme="majorHAnsi" w:cs="Arial"/>
          <w:b/>
          <w:bCs/>
          <w:sz w:val="19"/>
          <w:szCs w:val="19"/>
          <w:u w:val="single"/>
        </w:rPr>
        <w:t>Universités :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right="-85" w:hanging="425"/>
        <w:jc w:val="both"/>
        <w:rPr>
          <w:rFonts w:asciiTheme="majorHAnsi" w:hAnsiTheme="majorHAnsi" w:cstheme="majorBidi"/>
          <w:b/>
          <w:bCs/>
          <w:sz w:val="19"/>
          <w:szCs w:val="19"/>
        </w:rPr>
      </w:pPr>
      <w:r w:rsidRPr="00203480">
        <w:rPr>
          <w:rFonts w:asciiTheme="majorHAnsi" w:hAnsiTheme="majorHAnsi" w:cstheme="majorBidi"/>
          <w:sz w:val="19"/>
          <w:szCs w:val="19"/>
        </w:rPr>
        <w:t xml:space="preserve">Université Libre de Bruxelles </w:t>
      </w:r>
      <w:r w:rsidRPr="00203480">
        <w:rPr>
          <w:rFonts w:asciiTheme="majorHAnsi" w:hAnsiTheme="majorHAnsi" w:cstheme="majorBidi"/>
          <w:b/>
          <w:bCs/>
          <w:sz w:val="19"/>
          <w:szCs w:val="19"/>
        </w:rPr>
        <w:t>(Belgique)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du Québec à Montréal </w:t>
      </w:r>
      <w:r w:rsidRPr="00203480">
        <w:rPr>
          <w:rFonts w:asciiTheme="majorHAnsi" w:hAnsiTheme="majorHAnsi" w:cstheme="majorBidi"/>
          <w:b/>
          <w:sz w:val="19"/>
          <w:szCs w:val="19"/>
        </w:rPr>
        <w:t>(Canada)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Laval Québec </w:t>
      </w:r>
      <w:r w:rsidRPr="00203480">
        <w:rPr>
          <w:rFonts w:asciiTheme="majorHAnsi" w:hAnsiTheme="majorHAnsi" w:cstheme="majorBidi"/>
          <w:b/>
          <w:sz w:val="19"/>
          <w:szCs w:val="19"/>
        </w:rPr>
        <w:t>(Canada)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d’Alicante </w:t>
      </w:r>
      <w:r w:rsidRPr="00203480">
        <w:rPr>
          <w:rFonts w:asciiTheme="majorHAnsi" w:hAnsiTheme="majorHAnsi" w:cstheme="majorBidi"/>
          <w:b/>
          <w:sz w:val="19"/>
          <w:szCs w:val="19"/>
        </w:rPr>
        <w:t>(Espagne)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sz w:val="19"/>
          <w:szCs w:val="19"/>
        </w:rPr>
        <w:t xml:space="preserve">Université Bretagne Sud </w:t>
      </w:r>
      <w:r w:rsidRPr="00203480">
        <w:rPr>
          <w:rFonts w:asciiTheme="majorHAnsi" w:hAnsiTheme="majorHAnsi" w:cstheme="majorBidi"/>
          <w:b/>
          <w:bCs/>
          <w:sz w:val="19"/>
          <w:szCs w:val="19"/>
        </w:rPr>
        <w:t>(France)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de Bretagne Occidentale </w:t>
      </w:r>
      <w:r w:rsidRPr="00203480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d’Evry Val d’Essonne </w:t>
      </w:r>
      <w:r w:rsidRPr="00203480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de Limoges </w:t>
      </w:r>
      <w:r w:rsidRPr="00203480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de Nice - Sophia Antipolis </w:t>
      </w:r>
      <w:r w:rsidRPr="00203480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de Pau et des Pays de l’Adour </w:t>
      </w:r>
      <w:r w:rsidRPr="00203480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de Technologie de Belfort - Montbéliard </w:t>
      </w:r>
      <w:r w:rsidRPr="00203480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de Reims Champagne-Ardenne </w:t>
      </w:r>
      <w:r w:rsidRPr="00203480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sz w:val="19"/>
          <w:szCs w:val="19"/>
        </w:rPr>
        <w:t>Université de Rennes 1 (</w:t>
      </w:r>
      <w:r w:rsidRPr="00203480">
        <w:rPr>
          <w:rFonts w:asciiTheme="majorHAnsi" w:hAnsiTheme="majorHAnsi" w:cstheme="majorBidi"/>
          <w:b/>
          <w:bCs/>
          <w:sz w:val="19"/>
          <w:szCs w:val="19"/>
        </w:rPr>
        <w:t>France</w:t>
      </w:r>
      <w:r w:rsidRPr="00203480">
        <w:rPr>
          <w:rFonts w:asciiTheme="majorHAnsi" w:hAnsiTheme="majorHAnsi" w:cstheme="majorBidi"/>
          <w:sz w:val="19"/>
          <w:szCs w:val="19"/>
        </w:rPr>
        <w:t>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de Rouen </w:t>
      </w:r>
      <w:r w:rsidRPr="00203480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de Technologie de Compiègne </w:t>
      </w:r>
      <w:r w:rsidRPr="00203480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de Valenciennes et de Hainaut-Cambrésis </w:t>
      </w:r>
      <w:r w:rsidRPr="00203480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Paris Diderot-Paris7 </w:t>
      </w:r>
      <w:r w:rsidRPr="00203480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Pierre et Marie Curie, Paris </w:t>
      </w:r>
      <w:r w:rsidRPr="00203480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>Université de Toulon (France)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de Versailles Saint-Quentin </w:t>
      </w:r>
      <w:r w:rsidRPr="00203480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Electrotechnique de St. Pétersbourg </w:t>
      </w:r>
      <w:r w:rsidRPr="00203480">
        <w:rPr>
          <w:rFonts w:asciiTheme="majorHAnsi" w:hAnsiTheme="majorHAnsi" w:cstheme="majorBidi"/>
          <w:b/>
          <w:sz w:val="19"/>
          <w:szCs w:val="19"/>
        </w:rPr>
        <w:t>(Russie)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Technique de Saint-Pétersbourg </w:t>
      </w:r>
      <w:r w:rsidRPr="00203480">
        <w:rPr>
          <w:rFonts w:asciiTheme="majorHAnsi" w:hAnsiTheme="majorHAnsi" w:cstheme="majorBidi"/>
          <w:b/>
          <w:sz w:val="19"/>
          <w:szCs w:val="19"/>
        </w:rPr>
        <w:t>(Russie)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sz w:val="19"/>
          <w:szCs w:val="19"/>
        </w:rPr>
      </w:pPr>
      <w:r w:rsidRPr="00203480">
        <w:rPr>
          <w:rFonts w:asciiTheme="majorHAnsi" w:hAnsiTheme="majorHAnsi" w:cstheme="majorBidi"/>
          <w:sz w:val="19"/>
          <w:szCs w:val="19"/>
        </w:rPr>
        <w:t xml:space="preserve">Université d’Architecture et de Génie Civile de St Petersburg </w:t>
      </w:r>
      <w:r w:rsidRPr="00203480">
        <w:rPr>
          <w:rFonts w:asciiTheme="majorHAnsi" w:hAnsiTheme="majorHAnsi" w:cstheme="majorBidi"/>
          <w:b/>
          <w:bCs/>
          <w:sz w:val="19"/>
          <w:szCs w:val="19"/>
        </w:rPr>
        <w:t>(Russie)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sz w:val="19"/>
          <w:szCs w:val="19"/>
        </w:rPr>
      </w:pPr>
      <w:r w:rsidRPr="00203480">
        <w:rPr>
          <w:rFonts w:asciiTheme="majorHAnsi" w:hAnsiTheme="majorHAnsi" w:cstheme="majorBidi"/>
          <w:sz w:val="19"/>
          <w:szCs w:val="19"/>
        </w:rPr>
        <w:t>Université d'État des transports de Saint-Pétersbourg</w:t>
      </w:r>
      <w:r w:rsidRPr="00203480">
        <w:rPr>
          <w:rFonts w:asciiTheme="majorHAnsi" w:hAnsiTheme="majorHAnsi" w:cstheme="majorBidi" w:hint="cs"/>
          <w:b/>
          <w:bCs/>
          <w:sz w:val="19"/>
          <w:szCs w:val="19"/>
          <w:rtl/>
        </w:rPr>
        <w:t xml:space="preserve"> </w:t>
      </w:r>
      <w:r w:rsidRPr="00203480">
        <w:rPr>
          <w:rFonts w:asciiTheme="majorHAnsi" w:hAnsiTheme="majorHAnsi" w:cstheme="majorBidi"/>
          <w:b/>
          <w:bCs/>
          <w:sz w:val="19"/>
          <w:szCs w:val="19"/>
        </w:rPr>
        <w:t>(Russie)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num" w:pos="142"/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Nationale de Radio-électronique de Kharkiv </w:t>
      </w:r>
      <w:proofErr w:type="spellStart"/>
      <w:r w:rsidRPr="00203480">
        <w:rPr>
          <w:rFonts w:asciiTheme="majorHAnsi" w:hAnsiTheme="majorHAnsi" w:cstheme="majorBidi"/>
          <w:bCs/>
          <w:sz w:val="19"/>
          <w:szCs w:val="19"/>
        </w:rPr>
        <w:t>Nauky</w:t>
      </w:r>
      <w:proofErr w:type="spellEnd"/>
      <w:r w:rsidRPr="00203480">
        <w:rPr>
          <w:rFonts w:asciiTheme="majorHAnsi" w:hAnsiTheme="majorHAnsi" w:cstheme="majorBidi"/>
          <w:bCs/>
          <w:sz w:val="19"/>
          <w:szCs w:val="19"/>
        </w:rPr>
        <w:t xml:space="preserve"> Ave </w:t>
      </w:r>
      <w:r w:rsidRPr="00203480">
        <w:rPr>
          <w:rFonts w:asciiTheme="majorHAnsi" w:hAnsiTheme="majorHAnsi" w:cstheme="majorBidi"/>
          <w:b/>
          <w:sz w:val="19"/>
          <w:szCs w:val="19"/>
        </w:rPr>
        <w:t>(Ukraine)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Nationale Technique du Pétrole et du Gaz d'Ivano-Frankovsk </w:t>
      </w:r>
      <w:r w:rsidRPr="00203480">
        <w:rPr>
          <w:rFonts w:asciiTheme="majorHAnsi" w:hAnsiTheme="majorHAnsi" w:cstheme="majorBidi"/>
          <w:b/>
          <w:sz w:val="19"/>
          <w:szCs w:val="19"/>
        </w:rPr>
        <w:t>(Ukraine)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</w:t>
      </w:r>
      <w:proofErr w:type="spellStart"/>
      <w:r w:rsidRPr="00203480">
        <w:rPr>
          <w:rFonts w:asciiTheme="majorHAnsi" w:hAnsiTheme="majorHAnsi" w:cstheme="majorBidi"/>
          <w:bCs/>
          <w:sz w:val="19"/>
          <w:szCs w:val="19"/>
        </w:rPr>
        <w:t>Degli</w:t>
      </w:r>
      <w:proofErr w:type="spellEnd"/>
      <w:r w:rsidRPr="00203480">
        <w:rPr>
          <w:rFonts w:asciiTheme="majorHAnsi" w:hAnsiTheme="majorHAnsi" w:cstheme="majorBidi"/>
          <w:bCs/>
          <w:sz w:val="19"/>
          <w:szCs w:val="19"/>
        </w:rPr>
        <w:t xml:space="preserve"> </w:t>
      </w:r>
      <w:proofErr w:type="spellStart"/>
      <w:r w:rsidRPr="00203480">
        <w:rPr>
          <w:rFonts w:asciiTheme="majorHAnsi" w:hAnsiTheme="majorHAnsi" w:cstheme="majorBidi"/>
          <w:bCs/>
          <w:sz w:val="19"/>
          <w:szCs w:val="19"/>
        </w:rPr>
        <w:t>Studi</w:t>
      </w:r>
      <w:proofErr w:type="spellEnd"/>
      <w:r w:rsidRPr="00203480">
        <w:rPr>
          <w:rFonts w:asciiTheme="majorHAnsi" w:hAnsiTheme="majorHAnsi" w:cstheme="majorBidi"/>
          <w:bCs/>
          <w:sz w:val="19"/>
          <w:szCs w:val="19"/>
        </w:rPr>
        <w:t xml:space="preserve"> Di </w:t>
      </w:r>
      <w:proofErr w:type="spellStart"/>
      <w:r w:rsidRPr="00203480">
        <w:rPr>
          <w:rFonts w:asciiTheme="majorHAnsi" w:hAnsiTheme="majorHAnsi" w:cstheme="majorBidi"/>
          <w:bCs/>
          <w:sz w:val="19"/>
          <w:szCs w:val="19"/>
        </w:rPr>
        <w:t>Padova</w:t>
      </w:r>
      <w:proofErr w:type="spellEnd"/>
      <w:r w:rsidRPr="00203480">
        <w:rPr>
          <w:rFonts w:asciiTheme="majorHAnsi" w:hAnsiTheme="majorHAnsi" w:cstheme="majorBidi"/>
          <w:bCs/>
          <w:sz w:val="19"/>
          <w:szCs w:val="19"/>
        </w:rPr>
        <w:t xml:space="preserve"> Padoue </w:t>
      </w:r>
      <w:r w:rsidRPr="00203480">
        <w:rPr>
          <w:rFonts w:asciiTheme="majorHAnsi" w:hAnsiTheme="majorHAnsi" w:cstheme="majorBidi"/>
          <w:b/>
          <w:sz w:val="19"/>
          <w:szCs w:val="19"/>
        </w:rPr>
        <w:t>(Italie)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/>
          <w:sz w:val="19"/>
          <w:szCs w:val="19"/>
        </w:rPr>
      </w:pPr>
      <w:r w:rsidRPr="00DC3434">
        <w:rPr>
          <w:rFonts w:asciiTheme="majorHAnsi" w:hAnsiTheme="majorHAnsi" w:cstheme="majorBidi"/>
          <w:bCs/>
          <w:sz w:val="19"/>
          <w:szCs w:val="19"/>
        </w:rPr>
        <w:t>Université d'études G. "d'</w:t>
      </w:r>
      <w:proofErr w:type="spellStart"/>
      <w:r w:rsidRPr="00DC3434">
        <w:rPr>
          <w:rFonts w:asciiTheme="majorHAnsi" w:hAnsiTheme="majorHAnsi" w:cstheme="majorBidi"/>
          <w:bCs/>
          <w:sz w:val="19"/>
          <w:szCs w:val="19"/>
        </w:rPr>
        <w:t>Annunzio</w:t>
      </w:r>
      <w:proofErr w:type="spellEnd"/>
      <w:r w:rsidRPr="00DC3434">
        <w:rPr>
          <w:rFonts w:asciiTheme="majorHAnsi" w:hAnsiTheme="majorHAnsi" w:cstheme="majorBidi"/>
          <w:bCs/>
          <w:sz w:val="19"/>
          <w:szCs w:val="19"/>
        </w:rPr>
        <w:t xml:space="preserve">" Chieti Pescara </w:t>
      </w:r>
      <w:r w:rsidRPr="00DC3434">
        <w:rPr>
          <w:rFonts w:asciiTheme="majorHAnsi" w:hAnsiTheme="majorHAnsi" w:cstheme="majorBidi"/>
          <w:b/>
          <w:sz w:val="19"/>
          <w:szCs w:val="19"/>
        </w:rPr>
        <w:t>(Italie)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DC3434">
        <w:rPr>
          <w:rFonts w:asciiTheme="majorHAnsi" w:hAnsiTheme="majorHAnsi" w:cstheme="majorBidi"/>
          <w:bCs/>
          <w:sz w:val="19"/>
          <w:szCs w:val="19"/>
        </w:rPr>
        <w:t xml:space="preserve">Université Hassan II – Casablanca </w:t>
      </w:r>
      <w:r w:rsidRPr="00DC3434">
        <w:rPr>
          <w:rFonts w:asciiTheme="majorHAnsi" w:hAnsiTheme="majorHAnsi" w:cstheme="majorBidi"/>
          <w:b/>
          <w:sz w:val="19"/>
          <w:szCs w:val="19"/>
        </w:rPr>
        <w:t>(Maroc)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DC3434">
        <w:rPr>
          <w:rFonts w:asciiTheme="majorHAnsi" w:hAnsiTheme="majorHAnsi" w:cstheme="majorBidi"/>
          <w:bCs/>
          <w:sz w:val="19"/>
          <w:szCs w:val="19"/>
        </w:rPr>
        <w:t xml:space="preserve">Université de Monastir </w:t>
      </w:r>
      <w:r w:rsidRPr="00DC3434">
        <w:rPr>
          <w:rFonts w:asciiTheme="majorHAnsi" w:hAnsiTheme="majorHAnsi" w:cstheme="majorBidi"/>
          <w:b/>
          <w:sz w:val="19"/>
          <w:szCs w:val="19"/>
        </w:rPr>
        <w:t>(Tunisie)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sz w:val="19"/>
          <w:szCs w:val="19"/>
        </w:rPr>
      </w:pPr>
      <w:r w:rsidRPr="00DC3434">
        <w:rPr>
          <w:rFonts w:asciiTheme="majorHAnsi" w:hAnsiTheme="majorHAnsi" w:cstheme="majorBidi"/>
          <w:sz w:val="19"/>
          <w:szCs w:val="19"/>
        </w:rPr>
        <w:t xml:space="preserve">Université Technique de Zvolen </w:t>
      </w:r>
      <w:r w:rsidRPr="00DC3434">
        <w:rPr>
          <w:rFonts w:asciiTheme="majorHAnsi" w:hAnsiTheme="majorHAnsi" w:cstheme="majorBidi"/>
          <w:b/>
          <w:bCs/>
          <w:sz w:val="19"/>
          <w:szCs w:val="19"/>
        </w:rPr>
        <w:t>(Slovaquie)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sz w:val="19"/>
          <w:szCs w:val="19"/>
        </w:rPr>
      </w:pPr>
      <w:r w:rsidRPr="00DC3434">
        <w:rPr>
          <w:rFonts w:asciiTheme="majorHAnsi" w:hAnsiTheme="majorHAnsi" w:cstheme="majorBidi"/>
          <w:sz w:val="19"/>
          <w:szCs w:val="19"/>
        </w:rPr>
        <w:t xml:space="preserve">Université de Porto </w:t>
      </w:r>
      <w:r w:rsidRPr="00DC3434">
        <w:rPr>
          <w:rFonts w:asciiTheme="majorHAnsi" w:hAnsiTheme="majorHAnsi" w:cstheme="majorBidi"/>
          <w:b/>
          <w:bCs/>
          <w:sz w:val="19"/>
          <w:szCs w:val="19"/>
        </w:rPr>
        <w:t>(Portugal)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sz w:val="19"/>
          <w:szCs w:val="19"/>
        </w:rPr>
      </w:pPr>
      <w:r w:rsidRPr="00DC3434">
        <w:rPr>
          <w:rFonts w:asciiTheme="majorHAnsi" w:hAnsiTheme="majorHAnsi" w:cstheme="majorBidi"/>
          <w:sz w:val="19"/>
          <w:szCs w:val="19"/>
        </w:rPr>
        <w:t xml:space="preserve">Université d’Ostrava </w:t>
      </w:r>
      <w:r w:rsidRPr="00DC3434">
        <w:rPr>
          <w:rFonts w:asciiTheme="majorHAnsi" w:hAnsiTheme="majorHAnsi" w:cstheme="majorBidi"/>
          <w:b/>
          <w:bCs/>
          <w:sz w:val="19"/>
          <w:szCs w:val="19"/>
        </w:rPr>
        <w:t>(Rep. Tchèque)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sz w:val="19"/>
          <w:szCs w:val="19"/>
        </w:rPr>
      </w:pPr>
      <w:r w:rsidRPr="00DC3434">
        <w:rPr>
          <w:rFonts w:asciiTheme="majorHAnsi" w:hAnsiTheme="majorHAnsi" w:cstheme="majorBidi"/>
          <w:sz w:val="19"/>
          <w:szCs w:val="19"/>
        </w:rPr>
        <w:t xml:space="preserve">Université South East </w:t>
      </w:r>
      <w:r w:rsidRPr="00DC3434">
        <w:rPr>
          <w:rFonts w:asciiTheme="majorHAnsi" w:hAnsiTheme="majorHAnsi" w:cstheme="majorBidi"/>
          <w:b/>
          <w:bCs/>
          <w:sz w:val="19"/>
          <w:szCs w:val="19"/>
        </w:rPr>
        <w:t>(Chine)</w:t>
      </w:r>
    </w:p>
    <w:p w:rsidR="00C03DAD" w:rsidRPr="0084251F" w:rsidRDefault="00C03DAD" w:rsidP="00C03DA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sz w:val="19"/>
          <w:szCs w:val="19"/>
        </w:rPr>
      </w:pPr>
      <w:r w:rsidRPr="00DC3434">
        <w:rPr>
          <w:rFonts w:asciiTheme="majorHAnsi" w:hAnsiTheme="majorHAnsi" w:cstheme="majorBidi"/>
          <w:sz w:val="19"/>
          <w:szCs w:val="19"/>
        </w:rPr>
        <w:t>Université du Tennessee à Chattanooga</w:t>
      </w:r>
      <w:r w:rsidRPr="00F31B7F">
        <w:rPr>
          <w:rFonts w:asciiTheme="majorHAnsi" w:hAnsiTheme="majorHAnsi" w:cstheme="majorBidi"/>
          <w:sz w:val="19"/>
          <w:szCs w:val="19"/>
        </w:rPr>
        <w:t xml:space="preserve"> </w:t>
      </w:r>
      <w:r w:rsidRPr="00204777">
        <w:rPr>
          <w:rFonts w:asciiTheme="majorHAnsi" w:hAnsiTheme="majorHAnsi" w:cstheme="majorBidi"/>
          <w:b/>
          <w:bCs/>
          <w:sz w:val="19"/>
          <w:szCs w:val="19"/>
        </w:rPr>
        <w:t>(USA)</w:t>
      </w:r>
    </w:p>
    <w:p w:rsidR="00C03DAD" w:rsidRPr="00C03DAD" w:rsidRDefault="00C03DAD" w:rsidP="00C03DA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/>
          <w:bCs/>
          <w:sz w:val="19"/>
          <w:szCs w:val="19"/>
        </w:rPr>
      </w:pPr>
      <w:r w:rsidRPr="00C03DAD">
        <w:rPr>
          <w:rFonts w:asciiTheme="majorHAnsi" w:hAnsiTheme="majorHAnsi" w:cstheme="majorBidi"/>
          <w:sz w:val="19"/>
          <w:szCs w:val="19"/>
        </w:rPr>
        <w:t>Université d’Etat du Pétrole et de l’Industrie d’Azerbaïdjan (</w:t>
      </w:r>
      <w:r w:rsidRPr="00C03DAD">
        <w:rPr>
          <w:rFonts w:asciiTheme="majorHAnsi" w:hAnsiTheme="majorHAnsi" w:cstheme="majorBidi"/>
          <w:b/>
          <w:bCs/>
          <w:sz w:val="19"/>
          <w:szCs w:val="19"/>
        </w:rPr>
        <w:t xml:space="preserve">Azerbaïdjan) </w:t>
      </w:r>
    </w:p>
    <w:p w:rsidR="00C03DAD" w:rsidRPr="00C03DAD" w:rsidRDefault="00C03DAD" w:rsidP="00C03DA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/>
          <w:bCs/>
          <w:sz w:val="19"/>
          <w:szCs w:val="19"/>
        </w:rPr>
      </w:pPr>
      <w:r w:rsidRPr="00C03DAD">
        <w:rPr>
          <w:rFonts w:asciiTheme="majorHAnsi" w:hAnsiTheme="majorHAnsi" w:cstheme="majorBidi"/>
          <w:sz w:val="19"/>
          <w:szCs w:val="19"/>
        </w:rPr>
        <w:t>Université Moderne –Nouakchott</w:t>
      </w:r>
      <w:r w:rsidRPr="00C03DAD">
        <w:rPr>
          <w:rFonts w:asciiTheme="majorHAnsi" w:hAnsiTheme="majorHAnsi" w:cstheme="majorBidi" w:hint="cs"/>
          <w:sz w:val="19"/>
          <w:szCs w:val="19"/>
          <w:rtl/>
        </w:rPr>
        <w:t xml:space="preserve"> </w:t>
      </w:r>
      <w:r w:rsidRPr="00C03DAD">
        <w:rPr>
          <w:rFonts w:asciiTheme="majorHAnsi" w:hAnsiTheme="majorHAnsi" w:cstheme="majorBidi"/>
          <w:b/>
          <w:bCs/>
          <w:sz w:val="19"/>
          <w:szCs w:val="19"/>
        </w:rPr>
        <w:t>(Mauritanie)</w:t>
      </w:r>
    </w:p>
    <w:p w:rsidR="00C03DAD" w:rsidRPr="00C03DAD" w:rsidRDefault="00C03DAD" w:rsidP="00C03DA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sz w:val="19"/>
          <w:szCs w:val="19"/>
        </w:rPr>
      </w:pPr>
      <w:r w:rsidRPr="00C03DAD">
        <w:rPr>
          <w:rFonts w:asciiTheme="majorHAnsi" w:hAnsiTheme="majorHAnsi" w:cstheme="majorBidi"/>
          <w:sz w:val="19"/>
          <w:szCs w:val="19"/>
        </w:rPr>
        <w:t>Université de Limerick</w:t>
      </w:r>
      <w:r w:rsidRPr="00C03DAD">
        <w:rPr>
          <w:rFonts w:asciiTheme="majorHAnsi" w:hAnsiTheme="majorHAnsi" w:cstheme="majorBidi" w:hint="cs"/>
          <w:b/>
          <w:bCs/>
          <w:sz w:val="19"/>
          <w:szCs w:val="19"/>
          <w:rtl/>
        </w:rPr>
        <w:t xml:space="preserve">) </w:t>
      </w:r>
      <w:r w:rsidRPr="00C03DAD">
        <w:rPr>
          <w:rFonts w:asciiTheme="majorHAnsi" w:hAnsiTheme="majorHAnsi" w:cstheme="majorBidi"/>
          <w:b/>
          <w:bCs/>
          <w:sz w:val="19"/>
          <w:szCs w:val="19"/>
        </w:rPr>
        <w:t>Irlande</w:t>
      </w:r>
      <w:r w:rsidRPr="00C03DAD">
        <w:rPr>
          <w:rFonts w:asciiTheme="majorHAnsi" w:hAnsiTheme="majorHAnsi" w:cstheme="majorBidi" w:hint="cs"/>
          <w:sz w:val="19"/>
          <w:szCs w:val="19"/>
          <w:rtl/>
        </w:rPr>
        <w:t xml:space="preserve"> </w:t>
      </w:r>
      <w:r w:rsidRPr="00C03DAD">
        <w:rPr>
          <w:rFonts w:asciiTheme="majorHAnsi" w:hAnsiTheme="majorHAnsi" w:cstheme="majorBidi"/>
          <w:sz w:val="19"/>
          <w:szCs w:val="19"/>
          <w:rtl/>
        </w:rPr>
        <w:t>(</w:t>
      </w:r>
    </w:p>
    <w:p w:rsidR="00C03DAD" w:rsidRDefault="00C03DAD" w:rsidP="00C03DA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/>
          <w:bCs/>
          <w:sz w:val="19"/>
          <w:szCs w:val="19"/>
        </w:rPr>
      </w:pPr>
      <w:r w:rsidRPr="00C03DAD">
        <w:rPr>
          <w:rFonts w:asciiTheme="majorHAnsi" w:hAnsiTheme="majorHAnsi" w:cstheme="majorBidi"/>
          <w:sz w:val="19"/>
          <w:szCs w:val="19"/>
        </w:rPr>
        <w:t>Université Napier d’Edimbourg (</w:t>
      </w:r>
      <w:r w:rsidRPr="00C03DAD">
        <w:rPr>
          <w:rFonts w:asciiTheme="majorHAnsi" w:hAnsiTheme="majorHAnsi" w:cstheme="majorBidi"/>
          <w:b/>
          <w:bCs/>
          <w:sz w:val="19"/>
          <w:szCs w:val="19"/>
        </w:rPr>
        <w:t>Écosse)</w:t>
      </w:r>
    </w:p>
    <w:p w:rsidR="006A51D2" w:rsidRPr="00AA1A84" w:rsidRDefault="006A51D2" w:rsidP="00AA1A84">
      <w:pPr>
        <w:pStyle w:val="Paragraphedeliste"/>
        <w:numPr>
          <w:ilvl w:val="0"/>
          <w:numId w:val="3"/>
        </w:numPr>
        <w:spacing w:after="179" w:line="268" w:lineRule="auto"/>
        <w:ind w:hanging="218"/>
        <w:rPr>
          <w:rFonts w:asciiTheme="majorHAnsi" w:hAnsiTheme="majorHAnsi" w:cstheme="majorBidi"/>
          <w:b/>
          <w:bCs/>
          <w:sz w:val="19"/>
          <w:szCs w:val="19"/>
          <w:rtl/>
        </w:rPr>
      </w:pPr>
      <w:r w:rsidRPr="006A51D2">
        <w:rPr>
          <w:rFonts w:asciiTheme="majorHAnsi" w:hAnsiTheme="majorHAnsi" w:cstheme="majorBidi"/>
          <w:sz w:val="19"/>
          <w:szCs w:val="19"/>
        </w:rPr>
        <w:t xml:space="preserve">Université Suleyman Demirel-Isparta </w:t>
      </w:r>
      <w:r w:rsidRPr="006A51D2">
        <w:rPr>
          <w:rFonts w:asciiTheme="majorHAnsi" w:hAnsiTheme="majorHAnsi" w:cstheme="majorBidi"/>
          <w:b/>
          <w:bCs/>
          <w:sz w:val="19"/>
          <w:szCs w:val="19"/>
        </w:rPr>
        <w:t>(Turquie)</w:t>
      </w:r>
    </w:p>
    <w:p w:rsidR="00C03DAD" w:rsidRPr="00C03DAD" w:rsidRDefault="00C03DAD" w:rsidP="00C03DAD">
      <w:pPr>
        <w:pStyle w:val="Paragraphedeliste"/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rFonts w:asciiTheme="majorHAnsi" w:hAnsiTheme="majorHAnsi" w:cstheme="majorBidi"/>
          <w:b/>
          <w:bCs/>
          <w:sz w:val="8"/>
          <w:szCs w:val="8"/>
        </w:rPr>
      </w:pPr>
    </w:p>
    <w:p w:rsidR="00C03DAD" w:rsidRPr="00DC3434" w:rsidRDefault="00C03DAD" w:rsidP="00C03DAD">
      <w:pPr>
        <w:widowControl w:val="0"/>
        <w:tabs>
          <w:tab w:val="num" w:pos="426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="Arial"/>
          <w:b/>
          <w:bCs/>
          <w:sz w:val="19"/>
          <w:szCs w:val="19"/>
          <w:u w:val="single"/>
        </w:rPr>
      </w:pPr>
      <w:r w:rsidRPr="00DC3434">
        <w:rPr>
          <w:rFonts w:asciiTheme="majorHAnsi" w:hAnsiTheme="majorHAnsi" w:cs="Arial"/>
          <w:b/>
          <w:bCs/>
          <w:sz w:val="19"/>
          <w:szCs w:val="19"/>
          <w:u w:val="single"/>
        </w:rPr>
        <w:t>Ecoles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DC3434">
        <w:rPr>
          <w:rFonts w:asciiTheme="majorHAnsi" w:hAnsiTheme="majorHAnsi" w:cstheme="majorBidi"/>
          <w:bCs/>
          <w:sz w:val="19"/>
          <w:szCs w:val="19"/>
        </w:rPr>
        <w:t xml:space="preserve">Ecole de Technologie Supérieure à Montréal </w:t>
      </w:r>
      <w:r w:rsidRPr="00DC3434">
        <w:rPr>
          <w:rFonts w:asciiTheme="majorHAnsi" w:hAnsiTheme="majorHAnsi" w:cstheme="majorBidi"/>
          <w:b/>
          <w:sz w:val="19"/>
          <w:szCs w:val="19"/>
        </w:rPr>
        <w:t>(Canada)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DC3434">
        <w:rPr>
          <w:rFonts w:asciiTheme="majorHAnsi" w:hAnsiTheme="majorHAnsi" w:cstheme="majorBidi"/>
          <w:bCs/>
          <w:sz w:val="19"/>
          <w:szCs w:val="19"/>
        </w:rPr>
        <w:t xml:space="preserve">Ecole des Mines de Nantes </w:t>
      </w:r>
      <w:r w:rsidRPr="00DC3434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DC3434">
        <w:rPr>
          <w:rFonts w:asciiTheme="majorHAnsi" w:hAnsiTheme="majorHAnsi" w:cstheme="majorBidi"/>
          <w:bCs/>
          <w:sz w:val="19"/>
          <w:szCs w:val="19"/>
        </w:rPr>
        <w:t>Ecole Nationale Supérieure d’Arts et Métiers, Paris</w:t>
      </w:r>
      <w:r w:rsidRPr="00DC3434">
        <w:rPr>
          <w:rFonts w:asciiTheme="majorHAnsi" w:hAnsiTheme="majorHAnsi" w:cstheme="majorBidi"/>
          <w:b/>
          <w:sz w:val="19"/>
          <w:szCs w:val="19"/>
        </w:rPr>
        <w:t xml:space="preserve"> (France)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DC3434">
        <w:rPr>
          <w:rFonts w:asciiTheme="majorHAnsi" w:hAnsiTheme="majorHAnsi" w:cstheme="majorBidi"/>
          <w:bCs/>
          <w:sz w:val="19"/>
          <w:szCs w:val="19"/>
        </w:rPr>
        <w:t xml:space="preserve">Ecole Nationale Supérieure de Céramique Industrielle Limoges </w:t>
      </w:r>
      <w:r w:rsidRPr="00DC3434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DC3434">
        <w:rPr>
          <w:rFonts w:asciiTheme="majorHAnsi" w:hAnsiTheme="majorHAnsi" w:cstheme="majorBidi"/>
          <w:bCs/>
          <w:sz w:val="19"/>
          <w:szCs w:val="19"/>
        </w:rPr>
        <w:t xml:space="preserve">Ecole Nationale des Sciences Appliquées (ENSA) de Safi </w:t>
      </w:r>
      <w:r w:rsidRPr="00DC3434">
        <w:rPr>
          <w:rFonts w:asciiTheme="majorHAnsi" w:hAnsiTheme="majorHAnsi" w:cstheme="majorBidi"/>
          <w:b/>
          <w:sz w:val="19"/>
          <w:szCs w:val="19"/>
        </w:rPr>
        <w:t>(Maroc)</w:t>
      </w:r>
    </w:p>
    <w:p w:rsidR="00C03DAD" w:rsidRPr="00DC3434" w:rsidRDefault="00C03DAD" w:rsidP="00C03DAD">
      <w:pPr>
        <w:widowControl w:val="0"/>
        <w:tabs>
          <w:tab w:val="num" w:pos="426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="Arial"/>
          <w:b/>
          <w:bCs/>
          <w:sz w:val="19"/>
          <w:szCs w:val="19"/>
          <w:u w:val="single"/>
        </w:rPr>
      </w:pPr>
      <w:r w:rsidRPr="00DC3434">
        <w:rPr>
          <w:rFonts w:asciiTheme="majorHAnsi" w:hAnsiTheme="majorHAnsi" w:cs="Arial"/>
          <w:b/>
          <w:bCs/>
          <w:sz w:val="19"/>
          <w:szCs w:val="19"/>
          <w:u w:val="single"/>
        </w:rPr>
        <w:t>Instituts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DC3434">
        <w:rPr>
          <w:rFonts w:asciiTheme="majorHAnsi" w:hAnsiTheme="majorHAnsi" w:cstheme="majorBidi"/>
          <w:bCs/>
          <w:sz w:val="19"/>
          <w:szCs w:val="19"/>
        </w:rPr>
        <w:t>Institut Nationale des Sciences Appliquées de Rennes (</w:t>
      </w:r>
      <w:r w:rsidRPr="00DC3434">
        <w:rPr>
          <w:rFonts w:asciiTheme="majorHAnsi" w:hAnsiTheme="majorHAnsi" w:cstheme="majorBidi"/>
          <w:b/>
          <w:sz w:val="19"/>
          <w:szCs w:val="19"/>
        </w:rPr>
        <w:t>France</w:t>
      </w:r>
      <w:r w:rsidRPr="00DC3434">
        <w:rPr>
          <w:rFonts w:asciiTheme="majorHAnsi" w:hAnsiTheme="majorHAnsi" w:cstheme="majorBidi"/>
          <w:bCs/>
          <w:sz w:val="19"/>
          <w:szCs w:val="19"/>
        </w:rPr>
        <w:t>)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DC3434">
        <w:rPr>
          <w:rFonts w:asciiTheme="majorHAnsi" w:hAnsiTheme="majorHAnsi" w:cstheme="majorBidi"/>
          <w:bCs/>
          <w:sz w:val="19"/>
          <w:szCs w:val="19"/>
        </w:rPr>
        <w:lastRenderedPageBreak/>
        <w:t xml:space="preserve">Institut National Polytechnique Toulouse </w:t>
      </w:r>
      <w:r w:rsidRPr="00DC3434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DC3434">
        <w:rPr>
          <w:rFonts w:asciiTheme="majorHAnsi" w:hAnsiTheme="majorHAnsi" w:cstheme="majorBidi"/>
          <w:bCs/>
          <w:sz w:val="19"/>
          <w:szCs w:val="19"/>
        </w:rPr>
        <w:t xml:space="preserve">Institut Polytechnique de Grenoble (GRENOBLE INP) </w:t>
      </w:r>
      <w:r w:rsidRPr="00DC3434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DC3434">
        <w:rPr>
          <w:rFonts w:asciiTheme="majorHAnsi" w:hAnsiTheme="majorHAnsi" w:cstheme="majorBidi"/>
          <w:bCs/>
          <w:sz w:val="19"/>
          <w:szCs w:val="19"/>
        </w:rPr>
        <w:t xml:space="preserve">Institut Supérieur de Mécanique, Paris SUPMECA </w:t>
      </w:r>
      <w:r w:rsidRPr="00DC3434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B12EC5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4777">
        <w:rPr>
          <w:rFonts w:asciiTheme="majorHAnsi" w:hAnsiTheme="majorHAnsi" w:cstheme="majorBidi"/>
          <w:bCs/>
          <w:sz w:val="19"/>
          <w:szCs w:val="19"/>
        </w:rPr>
        <w:t xml:space="preserve">Institution d'enseignement professionnel supérieur (Université d'État de génie civil de Moscou) </w:t>
      </w:r>
      <w:r w:rsidRPr="00204777">
        <w:rPr>
          <w:rFonts w:asciiTheme="majorHAnsi" w:hAnsiTheme="majorHAnsi" w:cstheme="majorBidi"/>
          <w:b/>
          <w:sz w:val="19"/>
          <w:szCs w:val="19"/>
        </w:rPr>
        <w:t>(Russie)</w:t>
      </w:r>
    </w:p>
    <w:p w:rsidR="00B12EC5" w:rsidRPr="00B12EC5" w:rsidRDefault="00B12EC5" w:rsidP="00B12EC5">
      <w:pPr>
        <w:pStyle w:val="Paragraphedeliste"/>
        <w:widowControl w:val="0"/>
        <w:numPr>
          <w:ilvl w:val="0"/>
          <w:numId w:val="15"/>
        </w:numPr>
        <w:autoSpaceDE w:val="0"/>
        <w:autoSpaceDN w:val="0"/>
        <w:adjustRightInd w:val="0"/>
        <w:spacing w:line="300" w:lineRule="atLeast"/>
        <w:ind w:left="142" w:firstLine="0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B12EC5">
        <w:rPr>
          <w:rFonts w:asciiTheme="majorHAnsi" w:hAnsiTheme="majorHAnsi" w:cstheme="majorBidi"/>
          <w:bCs/>
          <w:sz w:val="19"/>
          <w:szCs w:val="19"/>
        </w:rPr>
        <w:t xml:space="preserve">Institut National de Recherche d’Analyse Physico-chimique </w:t>
      </w:r>
      <w:r w:rsidRPr="00B12EC5">
        <w:rPr>
          <w:rFonts w:asciiTheme="majorHAnsi" w:hAnsiTheme="majorHAnsi" w:cstheme="majorBidi"/>
          <w:b/>
          <w:sz w:val="19"/>
          <w:szCs w:val="19"/>
        </w:rPr>
        <w:t>(Tunisie)</w:t>
      </w:r>
    </w:p>
    <w:p w:rsidR="00B12EC5" w:rsidRPr="00B12EC5" w:rsidRDefault="00B12EC5" w:rsidP="00B12EC5">
      <w:pPr>
        <w:widowControl w:val="0"/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Bidi"/>
          <w:bCs/>
          <w:sz w:val="19"/>
          <w:szCs w:val="19"/>
        </w:rPr>
      </w:pPr>
    </w:p>
    <w:p w:rsidR="00C03DAD" w:rsidRPr="00204777" w:rsidRDefault="00C03DAD" w:rsidP="00C03DAD">
      <w:pPr>
        <w:widowControl w:val="0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 w:cs="Arial"/>
          <w:b/>
          <w:bCs/>
          <w:sz w:val="10"/>
          <w:szCs w:val="10"/>
          <w:u w:val="single"/>
        </w:rPr>
      </w:pPr>
    </w:p>
    <w:p w:rsidR="00C03DAD" w:rsidRPr="00DC3434" w:rsidRDefault="00C03DAD" w:rsidP="00C03DAD">
      <w:pPr>
        <w:widowControl w:val="0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 w:cs="Arial"/>
          <w:b/>
          <w:bCs/>
          <w:sz w:val="19"/>
          <w:szCs w:val="19"/>
          <w:u w:val="single"/>
        </w:rPr>
      </w:pPr>
      <w:r w:rsidRPr="00DC3434">
        <w:rPr>
          <w:rFonts w:asciiTheme="majorHAnsi" w:hAnsiTheme="majorHAnsi" w:cs="Arial"/>
          <w:b/>
          <w:bCs/>
          <w:sz w:val="19"/>
          <w:szCs w:val="19"/>
          <w:u w:val="single"/>
        </w:rPr>
        <w:t>Autres conventions</w:t>
      </w:r>
    </w:p>
    <w:p w:rsidR="00C03DAD" w:rsidRPr="00DC3434" w:rsidRDefault="00C03DAD" w:rsidP="00B12EC5">
      <w:pPr>
        <w:pStyle w:val="Paragraphedeliste"/>
        <w:widowControl w:val="0"/>
        <w:numPr>
          <w:ilvl w:val="0"/>
          <w:numId w:val="15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DC3434">
        <w:rPr>
          <w:rFonts w:asciiTheme="majorHAnsi" w:hAnsiTheme="majorHAnsi" w:cstheme="majorBidi"/>
          <w:bCs/>
          <w:sz w:val="19"/>
          <w:szCs w:val="19"/>
        </w:rPr>
        <w:t xml:space="preserve">Total Professeurs Associés, Paris </w:t>
      </w:r>
      <w:r w:rsidRPr="00DC3434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1E3274" w:rsidRDefault="00C03DAD" w:rsidP="00B12EC5">
      <w:pPr>
        <w:pStyle w:val="Paragraphedeliste"/>
        <w:widowControl w:val="0"/>
        <w:numPr>
          <w:ilvl w:val="0"/>
          <w:numId w:val="15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  <w:lang w:val="en-US"/>
        </w:rPr>
      </w:pPr>
      <w:r w:rsidRPr="00DC3434">
        <w:rPr>
          <w:rFonts w:asciiTheme="majorHAnsi" w:hAnsiTheme="majorHAnsi" w:cstheme="majorBidi"/>
          <w:bCs/>
          <w:sz w:val="19"/>
          <w:szCs w:val="19"/>
          <w:lang w:val="en-US"/>
        </w:rPr>
        <w:t xml:space="preserve">Halliburton Energy Service Inc. </w:t>
      </w:r>
      <w:r w:rsidRPr="00DC3434">
        <w:rPr>
          <w:rFonts w:asciiTheme="majorHAnsi" w:hAnsiTheme="majorHAnsi" w:cstheme="majorBidi"/>
          <w:b/>
          <w:sz w:val="19"/>
          <w:szCs w:val="19"/>
          <w:lang w:val="en-US"/>
        </w:rPr>
        <w:t>(USA)</w:t>
      </w:r>
    </w:p>
    <w:p w:rsidR="00C03DAD" w:rsidRPr="001E3274" w:rsidRDefault="00C03DAD" w:rsidP="00C03DAD">
      <w:pPr>
        <w:pStyle w:val="Paragraphedeliste"/>
        <w:widowControl w:val="0"/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709" w:hanging="709"/>
        <w:jc w:val="center"/>
        <w:rPr>
          <w:rFonts w:asciiTheme="majorHAnsi" w:hAnsiTheme="majorHAnsi" w:cs="Arial"/>
          <w:b/>
          <w:bCs/>
          <w:color w:val="FF0000"/>
          <w:sz w:val="19"/>
          <w:szCs w:val="19"/>
          <w:u w:val="single"/>
          <w:lang w:val="en-US"/>
        </w:rPr>
      </w:pPr>
    </w:p>
    <w:p w:rsidR="000B71E5" w:rsidRDefault="000B71E5" w:rsidP="00C03DA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b/>
          <w:bCs/>
          <w:color w:val="FF0000"/>
          <w:sz w:val="22"/>
          <w:szCs w:val="22"/>
          <w:u w:val="single"/>
          <w:lang w:val="en-US"/>
        </w:rPr>
      </w:pPr>
    </w:p>
    <w:p w:rsidR="000B71E5" w:rsidRDefault="000B71E5" w:rsidP="00C03DA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b/>
          <w:bCs/>
          <w:color w:val="FF0000"/>
          <w:sz w:val="22"/>
          <w:szCs w:val="22"/>
          <w:u w:val="single"/>
          <w:lang w:val="en-US"/>
        </w:rPr>
      </w:pPr>
    </w:p>
    <w:p w:rsidR="00C03DAD" w:rsidRPr="00F8733B" w:rsidRDefault="00C03DAD" w:rsidP="00C03DA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b/>
          <w:bCs/>
          <w:color w:val="FF0000"/>
          <w:sz w:val="22"/>
          <w:szCs w:val="22"/>
          <w:u w:val="single"/>
          <w:lang w:val="en-US"/>
        </w:rPr>
      </w:pPr>
      <w:r w:rsidRPr="00F8733B">
        <w:rPr>
          <w:rFonts w:asciiTheme="majorHAnsi" w:hAnsiTheme="majorHAnsi"/>
          <w:b/>
          <w:bCs/>
          <w:color w:val="FF0000"/>
          <w:sz w:val="22"/>
          <w:szCs w:val="22"/>
          <w:u w:val="single"/>
          <w:lang w:val="en-US"/>
        </w:rPr>
        <w:t>NATIONAL AND INTERNATIONAL CONVENTIONS</w:t>
      </w:r>
    </w:p>
    <w:p w:rsidR="00C03DAD" w:rsidRPr="00194892" w:rsidRDefault="00C03DAD" w:rsidP="00C03DAD">
      <w:pPr>
        <w:spacing w:line="240" w:lineRule="atLeast"/>
        <w:ind w:right="-16"/>
        <w:jc w:val="both"/>
        <w:rPr>
          <w:rFonts w:asciiTheme="majorHAnsi" w:hAnsiTheme="majorHAnsi" w:cs="Arial"/>
          <w:b/>
          <w:bCs/>
          <w:sz w:val="22"/>
          <w:szCs w:val="22"/>
          <w:u w:val="single"/>
          <w:lang w:val="en-US"/>
        </w:rPr>
      </w:pPr>
      <w:r>
        <w:rPr>
          <w:rFonts w:asciiTheme="majorHAnsi" w:hAnsiTheme="majorHAnsi" w:cs="Arial"/>
          <w:b/>
          <w:bCs/>
          <w:sz w:val="22"/>
          <w:szCs w:val="22"/>
          <w:u w:val="single"/>
          <w:lang w:val="en-US"/>
        </w:rPr>
        <w:t>A</w:t>
      </w:r>
      <w:r w:rsidRPr="00194892">
        <w:rPr>
          <w:rFonts w:asciiTheme="majorHAnsi" w:hAnsiTheme="majorHAnsi" w:cs="Arial"/>
          <w:b/>
          <w:bCs/>
          <w:sz w:val="22"/>
          <w:szCs w:val="22"/>
          <w:u w:val="single"/>
          <w:lang w:val="en-US"/>
        </w:rPr>
        <w:t>- COOPERATION RELATIONS AT THE NATIONAL LEVEL:</w:t>
      </w:r>
    </w:p>
    <w:p w:rsidR="00C03DAD" w:rsidRPr="00F8733B" w:rsidRDefault="00C03DAD" w:rsidP="00C03DAD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/>
          <w:b/>
          <w:bCs/>
          <w:sz w:val="6"/>
          <w:szCs w:val="6"/>
          <w:u w:val="single"/>
          <w:lang w:val="en-US"/>
        </w:rPr>
      </w:pPr>
    </w:p>
    <w:p w:rsidR="00C03DAD" w:rsidRPr="00C4670D" w:rsidRDefault="00C03DAD" w:rsidP="00C03DA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19"/>
          <w:szCs w:val="19"/>
          <w:lang w:val="en-US"/>
        </w:rPr>
      </w:pPr>
      <w:r w:rsidRPr="00C4670D">
        <w:rPr>
          <w:rFonts w:asciiTheme="majorHAnsi" w:hAnsiTheme="majorHAnsi"/>
          <w:sz w:val="19"/>
          <w:szCs w:val="19"/>
          <w:lang w:val="en-US"/>
        </w:rPr>
        <w:t xml:space="preserve">The </w:t>
      </w:r>
      <w:proofErr w:type="spellStart"/>
      <w:r w:rsidRPr="00C4670D">
        <w:rPr>
          <w:rFonts w:asciiTheme="majorHAnsi" w:hAnsiTheme="majorHAnsi"/>
          <w:sz w:val="19"/>
          <w:szCs w:val="19"/>
          <w:lang w:val="en-US"/>
        </w:rPr>
        <w:t>M’hamed</w:t>
      </w:r>
      <w:proofErr w:type="spellEnd"/>
      <w:r w:rsidRPr="00C4670D">
        <w:rPr>
          <w:rFonts w:asciiTheme="majorHAnsi" w:hAnsiTheme="majorHAnsi"/>
          <w:sz w:val="19"/>
          <w:szCs w:val="19"/>
          <w:lang w:val="en-US"/>
        </w:rPr>
        <w:t xml:space="preserve"> BOUGARA University of </w:t>
      </w:r>
      <w:proofErr w:type="spellStart"/>
      <w:r>
        <w:rPr>
          <w:rFonts w:asciiTheme="majorHAnsi" w:hAnsiTheme="majorHAnsi"/>
          <w:sz w:val="19"/>
          <w:szCs w:val="19"/>
          <w:lang w:val="en-US"/>
        </w:rPr>
        <w:t>Boumerdes</w:t>
      </w:r>
      <w:proofErr w:type="spellEnd"/>
      <w:r w:rsidRPr="00C4670D">
        <w:rPr>
          <w:rFonts w:asciiTheme="majorHAnsi" w:hAnsiTheme="majorHAnsi"/>
          <w:sz w:val="19"/>
          <w:szCs w:val="19"/>
          <w:lang w:val="en-US"/>
        </w:rPr>
        <w:t xml:space="preserve"> maintains regular relations with other higher education establishments and the socio-economic sector. The number of national convent</w:t>
      </w:r>
      <w:r>
        <w:rPr>
          <w:rFonts w:asciiTheme="majorHAnsi" w:hAnsiTheme="majorHAnsi"/>
          <w:sz w:val="19"/>
          <w:szCs w:val="19"/>
          <w:lang w:val="en-US"/>
        </w:rPr>
        <w:t xml:space="preserve">ions signed to date stands at </w:t>
      </w:r>
      <w:r w:rsidR="003606AC">
        <w:rPr>
          <w:rFonts w:asciiTheme="majorHAnsi" w:hAnsiTheme="majorHAnsi"/>
          <w:sz w:val="19"/>
          <w:szCs w:val="19"/>
          <w:lang w:val="en-US"/>
        </w:rPr>
        <w:t>93</w:t>
      </w:r>
      <w:r w:rsidRPr="00C4670D">
        <w:rPr>
          <w:rFonts w:asciiTheme="majorHAnsi" w:hAnsiTheme="majorHAnsi"/>
          <w:sz w:val="19"/>
          <w:szCs w:val="19"/>
          <w:lang w:val="en-US"/>
        </w:rPr>
        <w:t>.</w:t>
      </w:r>
    </w:p>
    <w:p w:rsidR="00C03DAD" w:rsidRPr="006B7751" w:rsidRDefault="00C03DAD" w:rsidP="00C03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 New"/>
          <w:b/>
          <w:bCs/>
          <w:color w:val="202124"/>
          <w:sz w:val="10"/>
          <w:szCs w:val="10"/>
          <w:lang w:val="en-US"/>
        </w:rPr>
      </w:pPr>
    </w:p>
    <w:p w:rsidR="00C03DAD" w:rsidRPr="00DB332C" w:rsidRDefault="00C03DAD" w:rsidP="00C03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rPr>
          <w:rFonts w:asciiTheme="majorHAnsi" w:hAnsiTheme="majorHAnsi" w:cs="Courier New"/>
          <w:b/>
          <w:bCs/>
          <w:color w:val="202124"/>
          <w:sz w:val="20"/>
          <w:szCs w:val="20"/>
          <w:lang w:val="en-US"/>
        </w:rPr>
      </w:pPr>
      <w:r w:rsidRPr="00DB332C">
        <w:rPr>
          <w:rFonts w:asciiTheme="majorHAnsi" w:hAnsiTheme="majorHAnsi" w:cs="Courier New"/>
          <w:b/>
          <w:bCs/>
          <w:color w:val="202124"/>
          <w:sz w:val="20"/>
          <w:szCs w:val="20"/>
          <w:lang w:val="en-US"/>
        </w:rPr>
        <w:t>A. National Conventions (</w:t>
      </w:r>
      <w:r w:rsidR="003606AC">
        <w:rPr>
          <w:rFonts w:asciiTheme="majorHAnsi" w:hAnsiTheme="majorHAnsi" w:cs="Courier New"/>
          <w:b/>
          <w:bCs/>
          <w:color w:val="202124"/>
          <w:sz w:val="20"/>
          <w:szCs w:val="20"/>
          <w:lang w:val="en-US"/>
        </w:rPr>
        <w:t>93</w:t>
      </w:r>
      <w:r w:rsidRPr="00DB332C">
        <w:rPr>
          <w:rFonts w:asciiTheme="majorHAnsi" w:hAnsiTheme="majorHAnsi" w:cs="Courier New"/>
          <w:b/>
          <w:bCs/>
          <w:color w:val="202124"/>
          <w:sz w:val="20"/>
          <w:szCs w:val="20"/>
          <w:lang w:val="en-US"/>
        </w:rPr>
        <w:t xml:space="preserve">) </w:t>
      </w:r>
    </w:p>
    <w:p w:rsidR="00C03DAD" w:rsidRPr="00DB332C" w:rsidRDefault="00C03DAD" w:rsidP="00C03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rPr>
          <w:rFonts w:asciiTheme="majorHAnsi" w:hAnsiTheme="majorHAnsi" w:cs="Courier New"/>
          <w:b/>
          <w:bCs/>
          <w:color w:val="202124"/>
          <w:sz w:val="20"/>
          <w:szCs w:val="20"/>
          <w:u w:val="single"/>
          <w:lang w:val="en-US"/>
        </w:rPr>
      </w:pPr>
      <w:r w:rsidRPr="00DB332C">
        <w:rPr>
          <w:rFonts w:asciiTheme="majorHAnsi" w:hAnsiTheme="majorHAnsi" w:cs="Courier New"/>
          <w:b/>
          <w:bCs/>
          <w:color w:val="202124"/>
          <w:sz w:val="20"/>
          <w:szCs w:val="20"/>
          <w:u w:val="single"/>
          <w:lang w:val="en-US"/>
        </w:rPr>
        <w:t>Universities</w:t>
      </w:r>
    </w:p>
    <w:p w:rsidR="00C03DAD" w:rsidRPr="00DB332C" w:rsidRDefault="00C03DAD" w:rsidP="00C03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rPr>
          <w:rFonts w:asciiTheme="majorHAnsi" w:hAnsiTheme="majorHAnsi" w:cs="Courier New"/>
          <w:color w:val="202124"/>
          <w:sz w:val="20"/>
          <w:szCs w:val="20"/>
          <w:lang w:val="en-US"/>
        </w:rPr>
      </w:pPr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1. </w:t>
      </w:r>
      <w:proofErr w:type="spellStart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>Houari</w:t>
      </w:r>
      <w:proofErr w:type="spellEnd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 Boumediene University of Science and Technology (USTHB)</w:t>
      </w:r>
    </w:p>
    <w:p w:rsidR="00C03DAD" w:rsidRPr="00DB332C" w:rsidRDefault="00C03DAD" w:rsidP="00C03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rPr>
          <w:rFonts w:asciiTheme="majorHAnsi" w:hAnsiTheme="majorHAnsi" w:cs="Courier New"/>
          <w:color w:val="202124"/>
          <w:sz w:val="20"/>
          <w:szCs w:val="20"/>
          <w:lang w:val="en-US"/>
        </w:rPr>
      </w:pPr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2. </w:t>
      </w:r>
      <w:proofErr w:type="spellStart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>Hassiba</w:t>
      </w:r>
      <w:proofErr w:type="spellEnd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 Ben </w:t>
      </w:r>
      <w:proofErr w:type="spellStart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>Bouali</w:t>
      </w:r>
      <w:proofErr w:type="spellEnd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 University of </w:t>
      </w:r>
      <w:proofErr w:type="spellStart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>Chlef</w:t>
      </w:r>
      <w:proofErr w:type="spellEnd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 (UHBB)</w:t>
      </w:r>
    </w:p>
    <w:p w:rsidR="00C03DAD" w:rsidRPr="00DB332C" w:rsidRDefault="00C03DAD" w:rsidP="00C03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rPr>
          <w:rFonts w:asciiTheme="majorHAnsi" w:hAnsiTheme="majorHAnsi" w:cs="Courier New"/>
          <w:color w:val="202124"/>
          <w:sz w:val="20"/>
          <w:szCs w:val="20"/>
          <w:lang w:val="en-US"/>
        </w:rPr>
      </w:pPr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3. </w:t>
      </w:r>
      <w:proofErr w:type="spellStart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>Mouloud</w:t>
      </w:r>
      <w:proofErr w:type="spellEnd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 </w:t>
      </w:r>
      <w:proofErr w:type="spellStart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>Mammeri</w:t>
      </w:r>
      <w:proofErr w:type="spellEnd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 University of </w:t>
      </w:r>
      <w:proofErr w:type="spellStart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>Tizi-Ouzou</w:t>
      </w:r>
      <w:proofErr w:type="spellEnd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 (UMMTO)</w:t>
      </w:r>
    </w:p>
    <w:p w:rsidR="00C03DAD" w:rsidRPr="00DB332C" w:rsidRDefault="00C03DAD" w:rsidP="00C03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rPr>
          <w:rFonts w:asciiTheme="majorHAnsi" w:hAnsiTheme="majorHAnsi" w:cs="Courier New"/>
          <w:color w:val="202124"/>
          <w:sz w:val="20"/>
          <w:szCs w:val="20"/>
          <w:lang w:val="en-US"/>
        </w:rPr>
      </w:pPr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>4. University of Yahia Fares of Medea (UYFM)</w:t>
      </w:r>
    </w:p>
    <w:p w:rsidR="00C03DAD" w:rsidRPr="00DB332C" w:rsidRDefault="00C03DAD" w:rsidP="00C03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rPr>
          <w:rFonts w:asciiTheme="majorHAnsi" w:hAnsiTheme="majorHAnsi" w:cs="Courier New"/>
          <w:color w:val="202124"/>
          <w:sz w:val="20"/>
          <w:szCs w:val="20"/>
          <w:lang w:val="en-US"/>
        </w:rPr>
      </w:pPr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5.Amar </w:t>
      </w:r>
      <w:proofErr w:type="spellStart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>Telidji</w:t>
      </w:r>
      <w:proofErr w:type="spellEnd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 University of </w:t>
      </w:r>
      <w:proofErr w:type="spellStart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>Laghouat</w:t>
      </w:r>
      <w:proofErr w:type="spellEnd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 (UATL)</w:t>
      </w:r>
    </w:p>
    <w:p w:rsidR="00C03DAD" w:rsidRPr="00DB332C" w:rsidRDefault="00C03DAD" w:rsidP="00C03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rPr>
          <w:rFonts w:asciiTheme="majorHAnsi" w:hAnsiTheme="majorHAnsi" w:cs="Courier New"/>
          <w:color w:val="202124"/>
          <w:sz w:val="20"/>
          <w:szCs w:val="20"/>
          <w:lang w:val="en-US"/>
        </w:rPr>
      </w:pPr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6.Mohamed </w:t>
      </w:r>
      <w:proofErr w:type="spellStart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>Khider</w:t>
      </w:r>
      <w:proofErr w:type="spellEnd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 University of </w:t>
      </w:r>
      <w:proofErr w:type="spellStart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>Biskra</w:t>
      </w:r>
      <w:proofErr w:type="spellEnd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 (UMKB)</w:t>
      </w:r>
    </w:p>
    <w:p w:rsidR="00C03DAD" w:rsidRPr="00DB332C" w:rsidRDefault="00C03DAD" w:rsidP="00C03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rPr>
          <w:rFonts w:asciiTheme="majorHAnsi" w:hAnsiTheme="majorHAnsi" w:cs="Courier New"/>
          <w:color w:val="202124"/>
          <w:sz w:val="20"/>
          <w:szCs w:val="20"/>
          <w:lang w:val="en-US"/>
        </w:rPr>
      </w:pPr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7.Ibn </w:t>
      </w:r>
      <w:proofErr w:type="spellStart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>Khaldoun</w:t>
      </w:r>
      <w:proofErr w:type="spellEnd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 University of </w:t>
      </w:r>
      <w:proofErr w:type="spellStart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>Tiaret</w:t>
      </w:r>
      <w:proofErr w:type="spellEnd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 (UIKT)</w:t>
      </w:r>
    </w:p>
    <w:p w:rsidR="00C03DAD" w:rsidRPr="00DB332C" w:rsidRDefault="00C03DAD" w:rsidP="00C03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rPr>
          <w:rFonts w:asciiTheme="majorHAnsi" w:hAnsiTheme="majorHAnsi" w:cs="Courier New"/>
          <w:color w:val="202124"/>
          <w:sz w:val="20"/>
          <w:szCs w:val="20"/>
          <w:lang w:val="en-US"/>
        </w:rPr>
      </w:pPr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8.Colonel </w:t>
      </w:r>
      <w:proofErr w:type="spellStart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>Akli</w:t>
      </w:r>
      <w:proofErr w:type="spellEnd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 </w:t>
      </w:r>
      <w:proofErr w:type="spellStart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>Mohand</w:t>
      </w:r>
      <w:proofErr w:type="spellEnd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 </w:t>
      </w:r>
      <w:proofErr w:type="spellStart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>Oulhadj</w:t>
      </w:r>
      <w:proofErr w:type="spellEnd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 University of </w:t>
      </w:r>
      <w:proofErr w:type="spellStart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>Bouira</w:t>
      </w:r>
      <w:proofErr w:type="spellEnd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 (UB)</w:t>
      </w:r>
    </w:p>
    <w:p w:rsidR="00C03DAD" w:rsidRPr="00DB332C" w:rsidRDefault="00C03DAD" w:rsidP="00C03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rPr>
          <w:rFonts w:asciiTheme="majorHAnsi" w:hAnsiTheme="majorHAnsi" w:cs="Courier New"/>
          <w:color w:val="202124"/>
          <w:sz w:val="20"/>
          <w:szCs w:val="20"/>
          <w:lang w:val="en-US"/>
        </w:rPr>
      </w:pPr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>9.University of Algiers 1</w:t>
      </w:r>
    </w:p>
    <w:p w:rsidR="00C03DAD" w:rsidRPr="00DB332C" w:rsidRDefault="00C03DAD" w:rsidP="00C03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rPr>
          <w:rFonts w:asciiTheme="majorHAnsi" w:hAnsiTheme="majorHAnsi" w:cs="Courier New"/>
          <w:color w:val="202124"/>
          <w:sz w:val="20"/>
          <w:szCs w:val="20"/>
          <w:lang w:val="en-US"/>
        </w:rPr>
      </w:pPr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10.Abderrahmane Mira University of </w:t>
      </w:r>
      <w:proofErr w:type="spellStart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>Béjaïa</w:t>
      </w:r>
      <w:proofErr w:type="spellEnd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>.</w:t>
      </w:r>
    </w:p>
    <w:p w:rsidR="00C03DAD" w:rsidRPr="00DB332C" w:rsidRDefault="00C03DAD" w:rsidP="00C03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rPr>
          <w:rFonts w:asciiTheme="majorHAnsi" w:hAnsiTheme="majorHAnsi" w:cs="Courier New"/>
          <w:color w:val="202124"/>
          <w:sz w:val="20"/>
          <w:szCs w:val="20"/>
          <w:lang w:val="en-US"/>
        </w:rPr>
      </w:pPr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11.Abou </w:t>
      </w:r>
      <w:proofErr w:type="spellStart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>BekrBelkaid</w:t>
      </w:r>
      <w:proofErr w:type="spellEnd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 University of </w:t>
      </w:r>
      <w:proofErr w:type="spellStart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>Tlemcen</w:t>
      </w:r>
      <w:proofErr w:type="spellEnd"/>
    </w:p>
    <w:p w:rsidR="00C03DAD" w:rsidRPr="00DB332C" w:rsidRDefault="00C03DAD" w:rsidP="00C03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rPr>
          <w:rFonts w:asciiTheme="majorHAnsi" w:hAnsiTheme="majorHAnsi" w:cs="Courier New"/>
          <w:color w:val="202124"/>
          <w:sz w:val="20"/>
          <w:szCs w:val="20"/>
          <w:lang w:val="en-US"/>
        </w:rPr>
      </w:pPr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>12.Badji Mokhtar-Annaba University (UBMA)</w:t>
      </w:r>
    </w:p>
    <w:p w:rsidR="00C03DAD" w:rsidRPr="00DB332C" w:rsidRDefault="00C03DAD" w:rsidP="00C03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rPr>
          <w:rFonts w:asciiTheme="majorHAnsi" w:hAnsiTheme="majorHAnsi" w:cs="Courier New"/>
          <w:color w:val="202124"/>
          <w:sz w:val="20"/>
          <w:szCs w:val="20"/>
          <w:lang w:val="en-US"/>
        </w:rPr>
      </w:pPr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13. </w:t>
      </w:r>
      <w:proofErr w:type="spellStart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>Mentouri</w:t>
      </w:r>
      <w:proofErr w:type="spellEnd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 Constantine University (UFMC)</w:t>
      </w:r>
    </w:p>
    <w:p w:rsidR="00C03DAD" w:rsidRPr="00DB332C" w:rsidRDefault="00C03DAD" w:rsidP="00C03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rPr>
          <w:rFonts w:asciiTheme="majorHAnsi" w:hAnsiTheme="majorHAnsi" w:cs="Courier New"/>
          <w:color w:val="202124"/>
          <w:sz w:val="20"/>
          <w:szCs w:val="20"/>
          <w:lang w:val="en-US"/>
        </w:rPr>
      </w:pPr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14. </w:t>
      </w:r>
      <w:proofErr w:type="spellStart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>Kasdi</w:t>
      </w:r>
      <w:proofErr w:type="spellEnd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 </w:t>
      </w:r>
      <w:proofErr w:type="spellStart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>Merbah</w:t>
      </w:r>
      <w:proofErr w:type="spellEnd"/>
      <w:r w:rsidRPr="00DB332C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 University of Ouargla (UKMO.)</w:t>
      </w:r>
    </w:p>
    <w:p w:rsidR="00C03DAD" w:rsidRPr="00A712D1" w:rsidRDefault="00C03DAD" w:rsidP="00C03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 New"/>
          <w:b/>
          <w:bCs/>
          <w:color w:val="202124"/>
          <w:sz w:val="6"/>
          <w:szCs w:val="6"/>
          <w:u w:val="single"/>
          <w:lang w:val="en-US"/>
        </w:rPr>
      </w:pPr>
    </w:p>
    <w:p w:rsidR="00C03DAD" w:rsidRPr="009E4749" w:rsidRDefault="00C03DAD" w:rsidP="00C03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rPr>
          <w:rFonts w:asciiTheme="majorHAnsi" w:hAnsiTheme="majorHAnsi" w:cs="Courier New"/>
          <w:b/>
          <w:bCs/>
          <w:color w:val="202124"/>
          <w:sz w:val="20"/>
          <w:szCs w:val="20"/>
          <w:u w:val="single"/>
          <w:lang w:val="en-US"/>
        </w:rPr>
      </w:pPr>
      <w:r w:rsidRPr="009E4749">
        <w:rPr>
          <w:rFonts w:asciiTheme="majorHAnsi" w:hAnsiTheme="majorHAnsi" w:cs="Courier New"/>
          <w:b/>
          <w:bCs/>
          <w:color w:val="202124"/>
          <w:sz w:val="20"/>
          <w:szCs w:val="20"/>
          <w:u w:val="single"/>
          <w:lang w:val="en-US"/>
        </w:rPr>
        <w:t>Schools</w:t>
      </w:r>
    </w:p>
    <w:p w:rsidR="00C03DAD" w:rsidRPr="00973B47" w:rsidRDefault="00C03DAD" w:rsidP="00C03DAD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ourier New"/>
          <w:color w:val="202124"/>
          <w:sz w:val="20"/>
          <w:szCs w:val="20"/>
          <w:lang w:val="en-US"/>
        </w:rPr>
      </w:pPr>
      <w:r w:rsidRPr="00973B47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National Polytechnic School of Oran </w:t>
      </w:r>
    </w:p>
    <w:p w:rsidR="00C03DAD" w:rsidRPr="00973B47" w:rsidRDefault="00C03DAD" w:rsidP="00C03DAD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ourier New"/>
          <w:color w:val="202124"/>
          <w:sz w:val="20"/>
          <w:szCs w:val="20"/>
          <w:lang w:val="en-US"/>
        </w:rPr>
      </w:pPr>
      <w:proofErr w:type="spellStart"/>
      <w:r w:rsidRPr="00973B47">
        <w:rPr>
          <w:rFonts w:asciiTheme="majorHAnsi" w:hAnsiTheme="majorHAnsi" w:cs="Courier New"/>
          <w:color w:val="202124"/>
          <w:sz w:val="20"/>
          <w:szCs w:val="20"/>
          <w:lang w:val="en-US"/>
        </w:rPr>
        <w:t>Kouba</w:t>
      </w:r>
      <w:proofErr w:type="spellEnd"/>
      <w:r w:rsidRPr="00973B47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 Normal Higher School</w:t>
      </w:r>
    </w:p>
    <w:p w:rsidR="00C03DAD" w:rsidRPr="00973B47" w:rsidRDefault="00C03DAD" w:rsidP="00C03DAD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ourier New"/>
          <w:color w:val="202124"/>
          <w:sz w:val="20"/>
          <w:szCs w:val="20"/>
          <w:lang w:val="en-US"/>
        </w:rPr>
      </w:pPr>
      <w:r w:rsidRPr="00973B47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The Territory Air </w:t>
      </w:r>
      <w:proofErr w:type="spellStart"/>
      <w:r w:rsidRPr="00973B47">
        <w:rPr>
          <w:rFonts w:asciiTheme="majorHAnsi" w:hAnsiTheme="majorHAnsi" w:cs="Courier New"/>
          <w:color w:val="202124"/>
          <w:sz w:val="20"/>
          <w:szCs w:val="20"/>
          <w:lang w:val="en-US"/>
        </w:rPr>
        <w:t>Defence</w:t>
      </w:r>
      <w:proofErr w:type="spellEnd"/>
      <w:r w:rsidRPr="00973B47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 Forces Schools </w:t>
      </w:r>
      <w:proofErr w:type="spellStart"/>
      <w:r w:rsidRPr="00973B47">
        <w:rPr>
          <w:rFonts w:asciiTheme="majorHAnsi" w:hAnsiTheme="majorHAnsi" w:cs="Courier New"/>
          <w:color w:val="202124"/>
          <w:sz w:val="20"/>
          <w:szCs w:val="20"/>
          <w:lang w:val="en-US"/>
        </w:rPr>
        <w:t>Chahid</w:t>
      </w:r>
      <w:proofErr w:type="spellEnd"/>
      <w:r w:rsidRPr="00973B47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 Ali CHABATI</w:t>
      </w:r>
    </w:p>
    <w:p w:rsidR="00C03DAD" w:rsidRPr="00973B47" w:rsidRDefault="00C03DAD" w:rsidP="00C03DAD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ourier New"/>
          <w:color w:val="202124"/>
          <w:sz w:val="20"/>
          <w:szCs w:val="20"/>
          <w:lang w:val="en-US"/>
        </w:rPr>
      </w:pPr>
      <w:r w:rsidRPr="00973B47">
        <w:rPr>
          <w:rFonts w:asciiTheme="majorHAnsi" w:hAnsiTheme="majorHAnsi" w:cs="Courier New"/>
          <w:color w:val="202124"/>
          <w:sz w:val="20"/>
          <w:szCs w:val="20"/>
          <w:lang w:val="en-US"/>
        </w:rPr>
        <w:t>Naval High School</w:t>
      </w:r>
    </w:p>
    <w:p w:rsidR="00C03DAD" w:rsidRPr="00973B47" w:rsidRDefault="00C03DAD" w:rsidP="00C03DAD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ourier New"/>
          <w:color w:val="202124"/>
          <w:sz w:val="20"/>
          <w:szCs w:val="20"/>
          <w:lang w:val="en-US"/>
        </w:rPr>
      </w:pPr>
      <w:r w:rsidRPr="00973B47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Military Academy of </w:t>
      </w:r>
      <w:proofErr w:type="spellStart"/>
      <w:r w:rsidRPr="00973B47">
        <w:rPr>
          <w:rFonts w:asciiTheme="majorHAnsi" w:hAnsiTheme="majorHAnsi" w:cs="Courier New"/>
          <w:color w:val="202124"/>
          <w:sz w:val="20"/>
          <w:szCs w:val="20"/>
          <w:lang w:val="en-US"/>
        </w:rPr>
        <w:t>Cherchell</w:t>
      </w:r>
      <w:proofErr w:type="spellEnd"/>
      <w:r w:rsidRPr="00973B47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 « The deceased president </w:t>
      </w:r>
      <w:proofErr w:type="spellStart"/>
      <w:r w:rsidRPr="00973B47">
        <w:rPr>
          <w:rFonts w:asciiTheme="majorHAnsi" w:hAnsiTheme="majorHAnsi" w:cs="Courier New"/>
          <w:color w:val="202124"/>
          <w:sz w:val="20"/>
          <w:szCs w:val="20"/>
          <w:lang w:val="en-US"/>
        </w:rPr>
        <w:t>Houari</w:t>
      </w:r>
      <w:proofErr w:type="spellEnd"/>
      <w:r w:rsidRPr="00973B47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 Boumediene »</w:t>
      </w:r>
    </w:p>
    <w:p w:rsidR="00C03DAD" w:rsidRPr="00973B47" w:rsidRDefault="00C03DAD" w:rsidP="00C03DAD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ourier New"/>
          <w:color w:val="202124"/>
          <w:sz w:val="20"/>
          <w:szCs w:val="20"/>
          <w:lang w:val="en-US"/>
        </w:rPr>
      </w:pPr>
      <w:r w:rsidRPr="00973B47">
        <w:rPr>
          <w:rFonts w:asciiTheme="majorHAnsi" w:hAnsiTheme="majorHAnsi" w:cs="Courier New"/>
          <w:color w:val="202124"/>
          <w:sz w:val="20"/>
          <w:szCs w:val="20"/>
          <w:lang w:val="en-US"/>
        </w:rPr>
        <w:t>Management School Algiers - Business School</w:t>
      </w:r>
    </w:p>
    <w:p w:rsidR="00C03DAD" w:rsidRPr="00973B47" w:rsidRDefault="00C03DAD" w:rsidP="00C03DAD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ourier New"/>
          <w:color w:val="202124"/>
          <w:sz w:val="20"/>
          <w:szCs w:val="20"/>
          <w:lang w:val="en-US"/>
        </w:rPr>
      </w:pPr>
      <w:r w:rsidRPr="00973B47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Polytechnic Military School of Bordj El </w:t>
      </w:r>
      <w:proofErr w:type="spellStart"/>
      <w:r w:rsidRPr="00973B47">
        <w:rPr>
          <w:rFonts w:asciiTheme="majorHAnsi" w:hAnsiTheme="majorHAnsi" w:cs="Courier New"/>
          <w:color w:val="202124"/>
          <w:sz w:val="20"/>
          <w:szCs w:val="20"/>
          <w:lang w:val="en-US"/>
        </w:rPr>
        <w:t>Bahri</w:t>
      </w:r>
      <w:proofErr w:type="spellEnd"/>
      <w:r w:rsidRPr="00973B47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 </w:t>
      </w:r>
      <w:proofErr w:type="spellStart"/>
      <w:r w:rsidRPr="00973B47">
        <w:rPr>
          <w:rFonts w:asciiTheme="majorHAnsi" w:hAnsiTheme="majorHAnsi" w:cs="Courier New"/>
          <w:color w:val="202124"/>
          <w:sz w:val="20"/>
          <w:szCs w:val="20"/>
          <w:lang w:val="en-US"/>
        </w:rPr>
        <w:t>Chahid</w:t>
      </w:r>
      <w:proofErr w:type="spellEnd"/>
      <w:r w:rsidRPr="00973B47">
        <w:rPr>
          <w:rFonts w:asciiTheme="majorHAnsi" w:hAnsiTheme="majorHAnsi" w:cs="Courier New" w:hint="cs"/>
          <w:color w:val="202124"/>
          <w:sz w:val="20"/>
          <w:szCs w:val="20"/>
          <w:rtl/>
          <w:lang w:val="en-US"/>
        </w:rPr>
        <w:t xml:space="preserve"> </w:t>
      </w:r>
      <w:proofErr w:type="spellStart"/>
      <w:r w:rsidRPr="00973B47">
        <w:rPr>
          <w:rFonts w:asciiTheme="majorHAnsi" w:hAnsiTheme="majorHAnsi" w:cs="Courier New"/>
          <w:color w:val="202124"/>
          <w:sz w:val="20"/>
          <w:szCs w:val="20"/>
          <w:lang w:val="en-US"/>
        </w:rPr>
        <w:t>Taleb-Abderahmane</w:t>
      </w:r>
      <w:proofErr w:type="spellEnd"/>
      <w:r w:rsidRPr="00973B47">
        <w:rPr>
          <w:rFonts w:asciiTheme="majorHAnsi" w:hAnsiTheme="majorHAnsi" w:cs="Courier New"/>
          <w:color w:val="202124"/>
          <w:sz w:val="20"/>
          <w:szCs w:val="20"/>
          <w:lang w:val="en-US"/>
        </w:rPr>
        <w:t xml:space="preserve"> </w:t>
      </w:r>
    </w:p>
    <w:p w:rsidR="00C03DAD" w:rsidRPr="00705F69" w:rsidRDefault="00C03DAD" w:rsidP="00C03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 New"/>
          <w:color w:val="202124"/>
          <w:sz w:val="4"/>
          <w:szCs w:val="4"/>
          <w:lang w:val="en-US"/>
        </w:rPr>
      </w:pPr>
    </w:p>
    <w:p w:rsidR="00C03DAD" w:rsidRPr="009E4749" w:rsidRDefault="00C03DAD" w:rsidP="00C03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rPr>
          <w:rFonts w:asciiTheme="majorHAnsi" w:hAnsiTheme="majorHAnsi" w:cs="Courier New"/>
          <w:b/>
          <w:bCs/>
          <w:color w:val="202124"/>
          <w:sz w:val="20"/>
          <w:szCs w:val="20"/>
          <w:u w:val="single"/>
          <w:lang w:val="en-US"/>
        </w:rPr>
      </w:pPr>
      <w:r w:rsidRPr="009E4749">
        <w:rPr>
          <w:rFonts w:asciiTheme="majorHAnsi" w:hAnsiTheme="majorHAnsi" w:cs="Courier New"/>
          <w:b/>
          <w:bCs/>
          <w:color w:val="202124"/>
          <w:sz w:val="20"/>
          <w:szCs w:val="20"/>
          <w:u w:val="single"/>
          <w:lang w:val="en-US"/>
        </w:rPr>
        <w:t>Institutes</w:t>
      </w:r>
    </w:p>
    <w:p w:rsidR="00C03DAD" w:rsidRPr="00DB332C" w:rsidRDefault="00C03DAD" w:rsidP="00C03DAD">
      <w:p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B332C">
        <w:rPr>
          <w:rFonts w:asciiTheme="majorHAnsi" w:hAnsiTheme="majorHAnsi"/>
          <w:sz w:val="20"/>
          <w:szCs w:val="20"/>
          <w:lang w:val="en-US"/>
        </w:rPr>
        <w:t>22.Algerian Petroleum Institute (IAP)</w:t>
      </w:r>
    </w:p>
    <w:p w:rsidR="00C03DAD" w:rsidRPr="00DB332C" w:rsidRDefault="00C03DAD" w:rsidP="00C03DAD">
      <w:p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B332C">
        <w:rPr>
          <w:rFonts w:asciiTheme="majorHAnsi" w:hAnsiTheme="majorHAnsi"/>
          <w:sz w:val="20"/>
          <w:szCs w:val="20"/>
          <w:lang w:val="en-US"/>
        </w:rPr>
        <w:t>23.National Institute for Plant Protection (INPV)</w:t>
      </w:r>
    </w:p>
    <w:p w:rsidR="00C03DAD" w:rsidRPr="00DB332C" w:rsidRDefault="00C03DAD" w:rsidP="00C03DAD">
      <w:p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B332C">
        <w:rPr>
          <w:rFonts w:asciiTheme="majorHAnsi" w:hAnsiTheme="majorHAnsi"/>
          <w:sz w:val="20"/>
          <w:szCs w:val="20"/>
          <w:lang w:val="en-US"/>
        </w:rPr>
        <w:t>24.National Institute of Productivity and Industrial Development (INPED)</w:t>
      </w:r>
    </w:p>
    <w:p w:rsidR="00C03DAD" w:rsidRPr="00DB332C" w:rsidRDefault="00C03DAD" w:rsidP="00C03DAD">
      <w:p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B332C">
        <w:rPr>
          <w:rFonts w:asciiTheme="majorHAnsi" w:hAnsiTheme="majorHAnsi"/>
          <w:sz w:val="20"/>
          <w:szCs w:val="20"/>
          <w:lang w:val="en-US"/>
        </w:rPr>
        <w:t>25.Algerian Institute for Standardization (IANOR)</w:t>
      </w:r>
    </w:p>
    <w:p w:rsidR="00C03DAD" w:rsidRPr="00DB332C" w:rsidRDefault="00C03DAD" w:rsidP="00C03DAD">
      <w:p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B332C">
        <w:rPr>
          <w:rFonts w:asciiTheme="majorHAnsi" w:hAnsiTheme="majorHAnsi"/>
          <w:sz w:val="20"/>
          <w:szCs w:val="20"/>
          <w:lang w:val="en-US"/>
        </w:rPr>
        <w:t>26. Algerian National Institute of Industrial Property (INAPI)</w:t>
      </w:r>
    </w:p>
    <w:p w:rsidR="00C03DAD" w:rsidRPr="00DB332C" w:rsidRDefault="00C03DAD" w:rsidP="00C03DAD">
      <w:p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B332C">
        <w:rPr>
          <w:rFonts w:asciiTheme="majorHAnsi" w:hAnsiTheme="majorHAnsi"/>
          <w:sz w:val="20"/>
          <w:szCs w:val="20"/>
          <w:lang w:val="en-US"/>
        </w:rPr>
        <w:t>27.Technical Institute of Livestock (ITELV)</w:t>
      </w:r>
    </w:p>
    <w:p w:rsidR="00C03DAD" w:rsidRDefault="00C03DAD" w:rsidP="00C03DAD">
      <w:p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B332C">
        <w:rPr>
          <w:rFonts w:asciiTheme="majorHAnsi" w:hAnsiTheme="majorHAnsi"/>
          <w:sz w:val="20"/>
          <w:szCs w:val="20"/>
          <w:lang w:val="en-US"/>
        </w:rPr>
        <w:t>28. National Institute of Agronomic Research of Algeria (INRAA)</w:t>
      </w:r>
    </w:p>
    <w:p w:rsidR="00C03DAD" w:rsidRDefault="00C03DAD" w:rsidP="00C03DAD">
      <w:pPr>
        <w:pStyle w:val="Paragraphedeliste"/>
        <w:numPr>
          <w:ilvl w:val="0"/>
          <w:numId w:val="7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B76809">
        <w:rPr>
          <w:rFonts w:asciiTheme="majorHAnsi" w:hAnsiTheme="majorHAnsi"/>
          <w:sz w:val="20"/>
          <w:szCs w:val="20"/>
          <w:lang w:val="en-US"/>
        </w:rPr>
        <w:t>Technical Institute of Field Crops (ITGC).</w:t>
      </w:r>
    </w:p>
    <w:p w:rsidR="00C03DAD" w:rsidRDefault="00C03DAD" w:rsidP="00C03DAD">
      <w:pPr>
        <w:pStyle w:val="Paragraphedeliste"/>
        <w:numPr>
          <w:ilvl w:val="0"/>
          <w:numId w:val="7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B76809">
        <w:rPr>
          <w:rFonts w:asciiTheme="majorHAnsi" w:hAnsiTheme="majorHAnsi"/>
          <w:sz w:val="20"/>
          <w:szCs w:val="20"/>
          <w:lang w:val="en-US"/>
        </w:rPr>
        <w:t>Technical Institute of Fruit and Vine Arboriculture</w:t>
      </w:r>
      <w:r w:rsidRPr="007F6945">
        <w:rPr>
          <w:rFonts w:asciiTheme="majorHAnsi" w:hAnsiTheme="majorHAnsi"/>
          <w:sz w:val="20"/>
          <w:szCs w:val="20"/>
          <w:lang w:val="en-US"/>
        </w:rPr>
        <w:t xml:space="preserve"> (ITAFV).</w:t>
      </w:r>
    </w:p>
    <w:p w:rsidR="00C03DAD" w:rsidRPr="00CB1229" w:rsidRDefault="00C03DAD" w:rsidP="00C03DAD">
      <w:pPr>
        <w:pStyle w:val="Paragraphedeliste"/>
        <w:numPr>
          <w:ilvl w:val="0"/>
          <w:numId w:val="7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CB1229">
        <w:rPr>
          <w:rFonts w:asciiTheme="majorHAnsi" w:hAnsiTheme="majorHAnsi"/>
          <w:sz w:val="20"/>
          <w:szCs w:val="20"/>
          <w:lang w:val="en-US"/>
        </w:rPr>
        <w:t>National Institute for Agricultural Extension (INVA)</w:t>
      </w:r>
    </w:p>
    <w:p w:rsidR="00C03DAD" w:rsidRPr="00B364EA" w:rsidRDefault="00C03DAD" w:rsidP="00C03DAD">
      <w:pPr>
        <w:rPr>
          <w:rFonts w:asciiTheme="majorHAnsi" w:hAnsiTheme="majorHAnsi"/>
          <w:sz w:val="8"/>
          <w:szCs w:val="8"/>
          <w:lang w:val="en-US"/>
        </w:rPr>
      </w:pPr>
    </w:p>
    <w:p w:rsidR="00C03DAD" w:rsidRPr="00DB332C" w:rsidRDefault="00C03DAD" w:rsidP="00C03DAD">
      <w:pPr>
        <w:spacing w:line="280" w:lineRule="atLeast"/>
        <w:rPr>
          <w:rFonts w:asciiTheme="majorHAnsi" w:hAnsiTheme="majorHAnsi"/>
          <w:b/>
          <w:bCs/>
          <w:sz w:val="20"/>
          <w:szCs w:val="20"/>
          <w:u w:val="single"/>
          <w:lang w:val="en-US"/>
        </w:rPr>
      </w:pPr>
      <w:r w:rsidRPr="00DB332C">
        <w:rPr>
          <w:rFonts w:asciiTheme="majorHAnsi" w:hAnsiTheme="majorHAnsi"/>
          <w:b/>
          <w:bCs/>
          <w:sz w:val="20"/>
          <w:szCs w:val="20"/>
          <w:u w:val="single"/>
          <w:lang w:val="en-US"/>
        </w:rPr>
        <w:lastRenderedPageBreak/>
        <w:t>University Centre</w:t>
      </w:r>
    </w:p>
    <w:p w:rsidR="00C03DAD" w:rsidRPr="00087E69" w:rsidRDefault="00C03DAD" w:rsidP="00C03DAD">
      <w:p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DB332C">
        <w:rPr>
          <w:rFonts w:asciiTheme="majorHAnsi" w:hAnsiTheme="majorHAnsi"/>
          <w:sz w:val="20"/>
          <w:szCs w:val="20"/>
          <w:lang w:val="en-US"/>
        </w:rPr>
        <w:t>3</w:t>
      </w:r>
      <w:r>
        <w:rPr>
          <w:rFonts w:asciiTheme="majorHAnsi" w:hAnsiTheme="majorHAnsi"/>
          <w:sz w:val="20"/>
          <w:szCs w:val="20"/>
          <w:lang w:val="en-US"/>
        </w:rPr>
        <w:t>2</w:t>
      </w:r>
      <w:r w:rsidRPr="00DB332C">
        <w:rPr>
          <w:rFonts w:asciiTheme="majorHAnsi" w:hAnsiTheme="majorHAnsi"/>
          <w:sz w:val="20"/>
          <w:szCs w:val="20"/>
          <w:lang w:val="en-US"/>
        </w:rPr>
        <w:t xml:space="preserve"> .</w:t>
      </w:r>
      <w:r w:rsidRPr="00087E69">
        <w:rPr>
          <w:rFonts w:asciiTheme="majorHAnsi" w:hAnsiTheme="majorHAnsi"/>
          <w:sz w:val="20"/>
          <w:szCs w:val="20"/>
          <w:lang w:val="en-US"/>
        </w:rPr>
        <w:t>Amine</w:t>
      </w:r>
      <w:proofErr w:type="gramEnd"/>
      <w:r w:rsidRPr="00087E69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087E69">
        <w:rPr>
          <w:rFonts w:asciiTheme="majorHAnsi" w:hAnsiTheme="majorHAnsi"/>
          <w:sz w:val="20"/>
          <w:szCs w:val="20"/>
          <w:lang w:val="en-US"/>
        </w:rPr>
        <w:t>Elokkal</w:t>
      </w:r>
      <w:proofErr w:type="spellEnd"/>
      <w:r w:rsidRPr="00087E69">
        <w:rPr>
          <w:rFonts w:asciiTheme="majorHAnsi" w:hAnsiTheme="majorHAnsi"/>
          <w:sz w:val="20"/>
          <w:szCs w:val="20"/>
          <w:lang w:val="en-US"/>
        </w:rPr>
        <w:t xml:space="preserve"> El </w:t>
      </w:r>
      <w:proofErr w:type="spellStart"/>
      <w:r w:rsidRPr="00087E69">
        <w:rPr>
          <w:rFonts w:asciiTheme="majorHAnsi" w:hAnsiTheme="majorHAnsi"/>
          <w:sz w:val="20"/>
          <w:szCs w:val="20"/>
          <w:lang w:val="en-US"/>
        </w:rPr>
        <w:t>Hadj</w:t>
      </w:r>
      <w:proofErr w:type="spellEnd"/>
      <w:r w:rsidRPr="00087E69">
        <w:rPr>
          <w:rFonts w:asciiTheme="majorHAnsi" w:hAnsiTheme="majorHAnsi"/>
          <w:sz w:val="20"/>
          <w:szCs w:val="20"/>
          <w:lang w:val="en-US"/>
        </w:rPr>
        <w:t xml:space="preserve"> Moussa </w:t>
      </w:r>
      <w:proofErr w:type="spellStart"/>
      <w:r w:rsidRPr="00087E69">
        <w:rPr>
          <w:rFonts w:asciiTheme="majorHAnsi" w:hAnsiTheme="majorHAnsi"/>
          <w:sz w:val="20"/>
          <w:szCs w:val="20"/>
          <w:lang w:val="en-US"/>
        </w:rPr>
        <w:t>Eg</w:t>
      </w:r>
      <w:proofErr w:type="spellEnd"/>
      <w:r w:rsidRPr="00087E69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087E69">
        <w:rPr>
          <w:rFonts w:asciiTheme="majorHAnsi" w:hAnsiTheme="majorHAnsi"/>
          <w:sz w:val="20"/>
          <w:szCs w:val="20"/>
          <w:lang w:val="en-US"/>
        </w:rPr>
        <w:t>Akhamouk</w:t>
      </w:r>
      <w:proofErr w:type="spellEnd"/>
      <w:r w:rsidRPr="00087E69">
        <w:rPr>
          <w:rFonts w:asciiTheme="majorHAnsi" w:hAnsiTheme="majorHAnsi"/>
          <w:sz w:val="20"/>
          <w:szCs w:val="20"/>
          <w:lang w:val="en-US"/>
        </w:rPr>
        <w:t xml:space="preserve"> University Center of Tamanrasset (CUT)</w:t>
      </w:r>
    </w:p>
    <w:p w:rsidR="00C03DAD" w:rsidRPr="009E4749" w:rsidRDefault="00C03DAD" w:rsidP="00C03DAD">
      <w:pPr>
        <w:rPr>
          <w:sz w:val="12"/>
          <w:szCs w:val="12"/>
          <w:lang w:val="en-US"/>
        </w:rPr>
      </w:pPr>
    </w:p>
    <w:p w:rsidR="00C03DAD" w:rsidRPr="00087E69" w:rsidRDefault="00C03DAD" w:rsidP="00C03DAD">
      <w:pPr>
        <w:rPr>
          <w:rFonts w:asciiTheme="majorHAnsi" w:hAnsiTheme="majorHAnsi"/>
          <w:b/>
          <w:bCs/>
          <w:sz w:val="20"/>
          <w:szCs w:val="20"/>
          <w:u w:val="single"/>
          <w:lang w:val="en-US"/>
        </w:rPr>
      </w:pPr>
      <w:r w:rsidRPr="00087E69">
        <w:rPr>
          <w:rFonts w:asciiTheme="majorHAnsi" w:hAnsiTheme="majorHAnsi"/>
          <w:b/>
          <w:bCs/>
          <w:sz w:val="20"/>
          <w:szCs w:val="20"/>
          <w:u w:val="single"/>
          <w:lang w:val="en-US"/>
        </w:rPr>
        <w:t>Other conventions</w:t>
      </w:r>
    </w:p>
    <w:p w:rsidR="00C03DAD" w:rsidRPr="00087E69" w:rsidRDefault="00C03DAD" w:rsidP="00C03DAD">
      <w:pPr>
        <w:pStyle w:val="Paragraphedeliste"/>
        <w:spacing w:line="280" w:lineRule="atLeast"/>
        <w:ind w:left="0"/>
        <w:rPr>
          <w:rFonts w:asciiTheme="majorHAnsi" w:hAnsiTheme="majorHAnsi"/>
          <w:sz w:val="20"/>
          <w:szCs w:val="20"/>
          <w:lang w:val="en-US"/>
        </w:rPr>
      </w:pPr>
      <w:r w:rsidRPr="009E4749">
        <w:rPr>
          <w:rFonts w:asciiTheme="majorHAnsi" w:hAnsiTheme="majorHAnsi"/>
          <w:sz w:val="20"/>
          <w:szCs w:val="20"/>
          <w:lang w:val="en-US"/>
        </w:rPr>
        <w:t>3</w:t>
      </w:r>
      <w:r>
        <w:rPr>
          <w:rFonts w:asciiTheme="majorHAnsi" w:hAnsiTheme="majorHAnsi"/>
          <w:sz w:val="20"/>
          <w:szCs w:val="20"/>
          <w:lang w:val="en-US"/>
        </w:rPr>
        <w:t>3</w:t>
      </w:r>
      <w:r w:rsidRPr="009E4749">
        <w:rPr>
          <w:rFonts w:asciiTheme="majorHAnsi" w:hAnsiTheme="majorHAnsi"/>
          <w:sz w:val="20"/>
          <w:szCs w:val="20"/>
          <w:lang w:val="en-US"/>
        </w:rPr>
        <w:t xml:space="preserve">. </w:t>
      </w:r>
      <w:r w:rsidRPr="00087E69">
        <w:rPr>
          <w:rFonts w:asciiTheme="majorHAnsi" w:hAnsiTheme="majorHAnsi"/>
          <w:sz w:val="20"/>
          <w:szCs w:val="20"/>
          <w:lang w:val="en-US"/>
        </w:rPr>
        <w:t>National Youth Employment Support Agency (ANSEJ)</w:t>
      </w:r>
    </w:p>
    <w:p w:rsidR="00C03DAD" w:rsidRPr="00087E69" w:rsidRDefault="00C03DAD" w:rsidP="00C03DAD">
      <w:pPr>
        <w:pStyle w:val="Paragraphedeliste"/>
        <w:spacing w:line="280" w:lineRule="atLeast"/>
        <w:ind w:left="0"/>
        <w:rPr>
          <w:rFonts w:asciiTheme="majorHAnsi" w:hAnsiTheme="majorHAnsi"/>
          <w:sz w:val="20"/>
          <w:szCs w:val="20"/>
          <w:lang w:val="en-US"/>
        </w:rPr>
      </w:pPr>
      <w:r w:rsidRPr="00087E69">
        <w:rPr>
          <w:rFonts w:asciiTheme="majorHAnsi" w:hAnsiTheme="majorHAnsi"/>
          <w:sz w:val="20"/>
          <w:szCs w:val="20"/>
          <w:lang w:val="en-US"/>
        </w:rPr>
        <w:t>3</w:t>
      </w:r>
      <w:r>
        <w:rPr>
          <w:rFonts w:asciiTheme="majorHAnsi" w:hAnsiTheme="majorHAnsi"/>
          <w:sz w:val="20"/>
          <w:szCs w:val="20"/>
          <w:lang w:val="en-US"/>
        </w:rPr>
        <w:t>4</w:t>
      </w:r>
      <w:r w:rsidRPr="00087E69">
        <w:rPr>
          <w:rFonts w:asciiTheme="majorHAnsi" w:hAnsiTheme="majorHAnsi"/>
          <w:sz w:val="20"/>
          <w:szCs w:val="20"/>
          <w:lang w:val="en-US"/>
        </w:rPr>
        <w:t>. Agency for the Promotion and Rationalization of Energy Use (APRUE)</w:t>
      </w:r>
    </w:p>
    <w:p w:rsidR="00C03DAD" w:rsidRPr="00087E69" w:rsidRDefault="00C03DAD" w:rsidP="00C03DAD">
      <w:pPr>
        <w:pStyle w:val="Paragraphedeliste"/>
        <w:spacing w:line="280" w:lineRule="atLeast"/>
        <w:ind w:left="0"/>
        <w:rPr>
          <w:rFonts w:asciiTheme="majorHAnsi" w:hAnsiTheme="majorHAnsi"/>
          <w:sz w:val="20"/>
          <w:szCs w:val="20"/>
          <w:lang w:val="en-US"/>
        </w:rPr>
      </w:pPr>
      <w:r w:rsidRPr="00087E69">
        <w:rPr>
          <w:rFonts w:asciiTheme="majorHAnsi" w:hAnsiTheme="majorHAnsi"/>
          <w:sz w:val="20"/>
          <w:szCs w:val="20"/>
          <w:lang w:val="en-US"/>
        </w:rPr>
        <w:t>3</w:t>
      </w:r>
      <w:r>
        <w:rPr>
          <w:rFonts w:asciiTheme="majorHAnsi" w:hAnsiTheme="majorHAnsi"/>
          <w:sz w:val="20"/>
          <w:szCs w:val="20"/>
          <w:lang w:val="en-US"/>
        </w:rPr>
        <w:t>5</w:t>
      </w:r>
      <w:r w:rsidRPr="00087E69">
        <w:rPr>
          <w:rFonts w:asciiTheme="majorHAnsi" w:hAnsiTheme="majorHAnsi"/>
          <w:sz w:val="20"/>
          <w:szCs w:val="20"/>
          <w:lang w:val="en-US"/>
        </w:rPr>
        <w:t>.National Agency for the Valorization of Research and Technological Development Results (ANVREDET)</w:t>
      </w:r>
    </w:p>
    <w:p w:rsidR="00C03DAD" w:rsidRPr="00087E69" w:rsidRDefault="00C03DAD" w:rsidP="00C03DAD">
      <w:pPr>
        <w:pStyle w:val="Paragraphedeliste"/>
        <w:spacing w:line="280" w:lineRule="atLeast"/>
        <w:ind w:left="0"/>
        <w:rPr>
          <w:rFonts w:asciiTheme="majorHAnsi" w:hAnsiTheme="majorHAnsi"/>
          <w:sz w:val="20"/>
          <w:szCs w:val="20"/>
          <w:lang w:val="en-US"/>
        </w:rPr>
      </w:pPr>
      <w:r w:rsidRPr="00087E69">
        <w:rPr>
          <w:rFonts w:asciiTheme="majorHAnsi" w:hAnsiTheme="majorHAnsi"/>
          <w:sz w:val="20"/>
          <w:szCs w:val="20"/>
          <w:lang w:val="en-US"/>
        </w:rPr>
        <w:t>3</w:t>
      </w:r>
      <w:r>
        <w:rPr>
          <w:rFonts w:asciiTheme="majorHAnsi" w:hAnsiTheme="majorHAnsi"/>
          <w:sz w:val="20"/>
          <w:szCs w:val="20"/>
          <w:lang w:val="en-US"/>
        </w:rPr>
        <w:t>6</w:t>
      </w:r>
      <w:r w:rsidRPr="00087E69">
        <w:rPr>
          <w:rFonts w:asciiTheme="majorHAnsi" w:hAnsiTheme="majorHAnsi"/>
          <w:sz w:val="20"/>
          <w:szCs w:val="20"/>
          <w:lang w:val="en-US"/>
        </w:rPr>
        <w:t>.Research and Development Center - SAIDAL (CRD-SAIDAL)</w:t>
      </w:r>
    </w:p>
    <w:p w:rsidR="00C03DAD" w:rsidRPr="00087E69" w:rsidRDefault="00C03DAD" w:rsidP="00C03DAD">
      <w:pPr>
        <w:pStyle w:val="Paragraphedeliste"/>
        <w:spacing w:line="280" w:lineRule="atLeast"/>
        <w:ind w:left="0"/>
        <w:rPr>
          <w:rFonts w:asciiTheme="majorHAnsi" w:hAnsiTheme="majorHAnsi"/>
          <w:sz w:val="20"/>
          <w:szCs w:val="20"/>
          <w:lang w:val="en-US"/>
        </w:rPr>
      </w:pPr>
      <w:r w:rsidRPr="00087E69">
        <w:rPr>
          <w:rFonts w:asciiTheme="majorHAnsi" w:hAnsiTheme="majorHAnsi"/>
          <w:sz w:val="20"/>
          <w:szCs w:val="20"/>
          <w:lang w:val="en-US"/>
        </w:rPr>
        <w:t>3</w:t>
      </w:r>
      <w:r>
        <w:rPr>
          <w:rFonts w:asciiTheme="majorHAnsi" w:hAnsiTheme="majorHAnsi"/>
          <w:sz w:val="20"/>
          <w:szCs w:val="20"/>
          <w:lang w:val="en-US"/>
        </w:rPr>
        <w:t>7</w:t>
      </w:r>
      <w:r w:rsidRPr="00087E69">
        <w:rPr>
          <w:rFonts w:asciiTheme="majorHAnsi" w:hAnsiTheme="majorHAnsi"/>
          <w:sz w:val="20"/>
          <w:szCs w:val="20"/>
          <w:lang w:val="en-US"/>
        </w:rPr>
        <w:t>.National Center for Technologies and Consulting (CNTC)</w:t>
      </w:r>
    </w:p>
    <w:p w:rsidR="00C03DAD" w:rsidRPr="00087E69" w:rsidRDefault="00C03DAD" w:rsidP="00C03DAD">
      <w:pPr>
        <w:pStyle w:val="Paragraphedeliste"/>
        <w:spacing w:line="280" w:lineRule="atLeast"/>
        <w:ind w:left="0"/>
        <w:rPr>
          <w:rFonts w:asciiTheme="majorHAnsi" w:hAnsiTheme="majorHAnsi"/>
          <w:sz w:val="20"/>
          <w:szCs w:val="20"/>
          <w:lang w:val="en-US"/>
        </w:rPr>
      </w:pPr>
      <w:r w:rsidRPr="00087E69">
        <w:rPr>
          <w:rFonts w:asciiTheme="majorHAnsi" w:hAnsiTheme="majorHAnsi"/>
          <w:sz w:val="20"/>
          <w:szCs w:val="20"/>
          <w:lang w:val="en-US"/>
        </w:rPr>
        <w:t>3</w:t>
      </w:r>
      <w:r>
        <w:rPr>
          <w:rFonts w:asciiTheme="majorHAnsi" w:hAnsiTheme="majorHAnsi"/>
          <w:sz w:val="20"/>
          <w:szCs w:val="20"/>
          <w:lang w:val="en-US"/>
        </w:rPr>
        <w:t>8</w:t>
      </w:r>
      <w:r w:rsidRPr="00087E69">
        <w:rPr>
          <w:rFonts w:asciiTheme="majorHAnsi" w:hAnsiTheme="majorHAnsi"/>
          <w:sz w:val="20"/>
          <w:szCs w:val="20"/>
          <w:lang w:val="en-US"/>
        </w:rPr>
        <w:t xml:space="preserve">. </w:t>
      </w:r>
      <w:proofErr w:type="spellStart"/>
      <w:r w:rsidRPr="00087E69">
        <w:rPr>
          <w:rFonts w:asciiTheme="majorHAnsi" w:hAnsiTheme="majorHAnsi"/>
          <w:sz w:val="20"/>
          <w:szCs w:val="20"/>
          <w:lang w:val="en-US"/>
        </w:rPr>
        <w:t>Réghaia</w:t>
      </w:r>
      <w:proofErr w:type="spellEnd"/>
      <w:r w:rsidRPr="00087E69">
        <w:rPr>
          <w:rFonts w:asciiTheme="majorHAnsi" w:hAnsiTheme="majorHAnsi"/>
          <w:sz w:val="20"/>
          <w:szCs w:val="20"/>
          <w:lang w:val="en-US"/>
        </w:rPr>
        <w:t xml:space="preserve"> Hunting Center - Algiers (CCR)</w:t>
      </w:r>
    </w:p>
    <w:p w:rsidR="00C03DAD" w:rsidRPr="00087E69" w:rsidRDefault="00C03DAD" w:rsidP="00C03DAD">
      <w:pPr>
        <w:pStyle w:val="Paragraphedeliste"/>
        <w:spacing w:line="280" w:lineRule="atLeast"/>
        <w:ind w:left="0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087E69">
        <w:rPr>
          <w:rFonts w:asciiTheme="majorHAnsi" w:hAnsiTheme="majorHAnsi"/>
          <w:sz w:val="20"/>
          <w:szCs w:val="20"/>
          <w:lang w:val="en-US"/>
        </w:rPr>
        <w:t>3</w:t>
      </w:r>
      <w:r>
        <w:rPr>
          <w:rFonts w:asciiTheme="majorHAnsi" w:hAnsiTheme="majorHAnsi"/>
          <w:sz w:val="20"/>
          <w:szCs w:val="20"/>
          <w:lang w:val="en-US"/>
        </w:rPr>
        <w:t>9</w:t>
      </w:r>
      <w:r w:rsidRPr="00087E69">
        <w:rPr>
          <w:rFonts w:asciiTheme="majorHAnsi" w:hAnsiTheme="majorHAnsi"/>
          <w:sz w:val="20"/>
          <w:szCs w:val="20"/>
          <w:lang w:val="en-US"/>
        </w:rPr>
        <w:t xml:space="preserve">  Agricultural</w:t>
      </w:r>
      <w:proofErr w:type="gramEnd"/>
      <w:r w:rsidRPr="00087E69">
        <w:rPr>
          <w:rFonts w:asciiTheme="majorHAnsi" w:hAnsiTheme="majorHAnsi"/>
          <w:sz w:val="20"/>
          <w:szCs w:val="20"/>
          <w:lang w:val="en-US"/>
        </w:rPr>
        <w:t xml:space="preserve"> Training and Extension Center (CFVA)</w:t>
      </w:r>
    </w:p>
    <w:p w:rsidR="00C03DAD" w:rsidRPr="00087E69" w:rsidRDefault="00C03DAD" w:rsidP="00C03DAD">
      <w:pPr>
        <w:pStyle w:val="Paragraphedeliste"/>
        <w:spacing w:line="280" w:lineRule="atLeast"/>
        <w:ind w:left="0"/>
        <w:rPr>
          <w:rFonts w:asciiTheme="majorHAnsi" w:hAnsiTheme="majorHAnsi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  <w:lang w:val="en-US"/>
        </w:rPr>
        <w:t>40</w:t>
      </w:r>
      <w:r w:rsidRPr="00087E69">
        <w:rPr>
          <w:rFonts w:asciiTheme="majorHAnsi" w:hAnsiTheme="majorHAnsi"/>
          <w:sz w:val="20"/>
          <w:szCs w:val="20"/>
          <w:lang w:val="en-US"/>
        </w:rPr>
        <w:t>. Center for Studies and Technological Services for the Building Materials Industry (CETIM)</w:t>
      </w:r>
    </w:p>
    <w:p w:rsidR="00C03DAD" w:rsidRPr="00087E69" w:rsidRDefault="00C03DAD" w:rsidP="00C03DAD">
      <w:pPr>
        <w:pStyle w:val="Paragraphedeliste"/>
        <w:spacing w:line="280" w:lineRule="atLeast"/>
        <w:ind w:left="0"/>
        <w:rPr>
          <w:rFonts w:asciiTheme="majorHAnsi" w:hAnsiTheme="majorHAnsi"/>
          <w:sz w:val="20"/>
          <w:szCs w:val="20"/>
          <w:lang w:val="en-US"/>
        </w:rPr>
      </w:pPr>
      <w:r w:rsidRPr="00087E69">
        <w:rPr>
          <w:rFonts w:asciiTheme="majorHAnsi" w:hAnsiTheme="majorHAnsi"/>
          <w:sz w:val="20"/>
          <w:szCs w:val="20"/>
          <w:lang w:val="en-US"/>
        </w:rPr>
        <w:t>4</w:t>
      </w:r>
      <w:r>
        <w:rPr>
          <w:rFonts w:asciiTheme="majorHAnsi" w:hAnsiTheme="majorHAnsi"/>
          <w:sz w:val="20"/>
          <w:szCs w:val="20"/>
          <w:lang w:val="en-US"/>
        </w:rPr>
        <w:t>1</w:t>
      </w:r>
      <w:r w:rsidRPr="00087E69">
        <w:rPr>
          <w:rFonts w:asciiTheme="majorHAnsi" w:hAnsiTheme="majorHAnsi"/>
          <w:sz w:val="20"/>
          <w:szCs w:val="20"/>
          <w:lang w:val="en-US"/>
        </w:rPr>
        <w:t>. Electricity and Gas Research and Development Center (CREDEG)</w:t>
      </w:r>
    </w:p>
    <w:p w:rsidR="00C03DAD" w:rsidRDefault="00C03DAD" w:rsidP="00C03DAD">
      <w:pPr>
        <w:pStyle w:val="Paragraphedeliste"/>
        <w:spacing w:line="280" w:lineRule="atLeast"/>
        <w:ind w:left="0"/>
        <w:rPr>
          <w:rFonts w:asciiTheme="majorHAnsi" w:hAnsiTheme="majorHAnsi"/>
          <w:sz w:val="20"/>
          <w:szCs w:val="20"/>
          <w:lang w:val="en-US"/>
        </w:rPr>
      </w:pPr>
      <w:r w:rsidRPr="00087E69">
        <w:rPr>
          <w:rFonts w:asciiTheme="majorHAnsi" w:hAnsiTheme="majorHAnsi"/>
          <w:sz w:val="20"/>
          <w:szCs w:val="20"/>
          <w:lang w:val="en-US"/>
        </w:rPr>
        <w:t>4</w:t>
      </w:r>
      <w:r>
        <w:rPr>
          <w:rFonts w:asciiTheme="majorHAnsi" w:hAnsiTheme="majorHAnsi"/>
          <w:sz w:val="20"/>
          <w:szCs w:val="20"/>
          <w:lang w:val="en-US"/>
        </w:rPr>
        <w:t>2</w:t>
      </w:r>
      <w:r w:rsidRPr="00087E69">
        <w:rPr>
          <w:rFonts w:asciiTheme="majorHAnsi" w:hAnsiTheme="majorHAnsi"/>
          <w:sz w:val="20"/>
          <w:szCs w:val="20"/>
          <w:lang w:val="en-US"/>
        </w:rPr>
        <w:t xml:space="preserve">. Center for Scientific and Technical Research in </w:t>
      </w:r>
      <w:proofErr w:type="spellStart"/>
      <w:r w:rsidRPr="00087E69">
        <w:rPr>
          <w:rFonts w:asciiTheme="majorHAnsi" w:hAnsiTheme="majorHAnsi"/>
          <w:sz w:val="20"/>
          <w:szCs w:val="20"/>
          <w:lang w:val="en-US"/>
        </w:rPr>
        <w:t>Physico</w:t>
      </w:r>
      <w:proofErr w:type="spellEnd"/>
      <w:r w:rsidRPr="00087E69">
        <w:rPr>
          <w:rFonts w:asciiTheme="majorHAnsi" w:hAnsiTheme="majorHAnsi"/>
          <w:sz w:val="20"/>
          <w:szCs w:val="20"/>
          <w:lang w:val="en-US"/>
        </w:rPr>
        <w:t>-chemical Analysis (CRAPC)</w:t>
      </w:r>
    </w:p>
    <w:p w:rsidR="00C03DAD" w:rsidRPr="00087E69" w:rsidRDefault="00C03DAD" w:rsidP="00C03DAD">
      <w:pPr>
        <w:pStyle w:val="Paragraphedeliste"/>
        <w:spacing w:line="280" w:lineRule="atLeast"/>
        <w:ind w:left="0"/>
        <w:rPr>
          <w:rFonts w:asciiTheme="majorHAnsi" w:hAnsiTheme="majorHAnsi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  <w:lang w:val="en-US"/>
        </w:rPr>
        <w:t xml:space="preserve">43. </w:t>
      </w:r>
      <w:r w:rsidRPr="00087E69">
        <w:rPr>
          <w:rFonts w:asciiTheme="majorHAnsi" w:hAnsiTheme="majorHAnsi"/>
          <w:sz w:val="20"/>
          <w:szCs w:val="20"/>
          <w:lang w:val="en-US"/>
        </w:rPr>
        <w:t>The Industrial Technology Research Center (CRTI)</w:t>
      </w:r>
    </w:p>
    <w:p w:rsidR="00C03DAD" w:rsidRDefault="00C03DAD" w:rsidP="00C03DAD">
      <w:p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087E69">
        <w:rPr>
          <w:rFonts w:asciiTheme="majorHAnsi" w:hAnsiTheme="majorHAnsi"/>
          <w:sz w:val="20"/>
          <w:szCs w:val="20"/>
          <w:lang w:val="en-US"/>
        </w:rPr>
        <w:t>4</w:t>
      </w:r>
      <w:r>
        <w:rPr>
          <w:rFonts w:asciiTheme="majorHAnsi" w:hAnsiTheme="majorHAnsi"/>
          <w:sz w:val="20"/>
          <w:szCs w:val="20"/>
          <w:lang w:val="en-US"/>
        </w:rPr>
        <w:t>4</w:t>
      </w:r>
      <w:r w:rsidRPr="00087E69">
        <w:rPr>
          <w:rFonts w:asciiTheme="majorHAnsi" w:hAnsiTheme="majorHAnsi"/>
          <w:sz w:val="20"/>
          <w:szCs w:val="20"/>
          <w:lang w:val="en-US"/>
        </w:rPr>
        <w:t>. National Center for Control and Certification of Seeds and</w:t>
      </w:r>
      <w:r>
        <w:rPr>
          <w:rFonts w:asciiTheme="majorHAnsi" w:hAnsiTheme="majorHAnsi"/>
          <w:sz w:val="20"/>
          <w:szCs w:val="20"/>
          <w:lang w:val="en-US"/>
        </w:rPr>
        <w:t xml:space="preserve"> </w:t>
      </w:r>
      <w:r w:rsidRPr="00087E69">
        <w:rPr>
          <w:rFonts w:asciiTheme="majorHAnsi" w:hAnsiTheme="majorHAnsi"/>
          <w:sz w:val="20"/>
          <w:szCs w:val="20"/>
          <w:lang w:val="en-US"/>
        </w:rPr>
        <w:t>Plants (CNCC)</w:t>
      </w:r>
    </w:p>
    <w:p w:rsidR="00C03DAD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>National Center for Research and Development of Fisheries and Aquaculture-</w:t>
      </w:r>
      <w:proofErr w:type="spellStart"/>
      <w:r w:rsidRPr="00DD58E1">
        <w:rPr>
          <w:rFonts w:asciiTheme="majorHAnsi" w:hAnsiTheme="majorHAnsi"/>
          <w:sz w:val="20"/>
          <w:szCs w:val="20"/>
          <w:lang w:val="en-US"/>
        </w:rPr>
        <w:t>Tipaza</w:t>
      </w:r>
      <w:proofErr w:type="spellEnd"/>
    </w:p>
    <w:p w:rsidR="00C03DAD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 xml:space="preserve">Department of Fisheries and Fishery Resources - </w:t>
      </w:r>
      <w:proofErr w:type="spellStart"/>
      <w:r w:rsidRPr="00DD58E1">
        <w:rPr>
          <w:rFonts w:asciiTheme="majorHAnsi" w:hAnsiTheme="majorHAnsi"/>
          <w:sz w:val="20"/>
          <w:szCs w:val="20"/>
          <w:lang w:val="en-US"/>
        </w:rPr>
        <w:t>Boumerdès</w:t>
      </w:r>
      <w:proofErr w:type="spellEnd"/>
      <w:r w:rsidRPr="00DD58E1">
        <w:rPr>
          <w:rFonts w:asciiTheme="majorHAnsi" w:hAnsiTheme="majorHAnsi"/>
          <w:sz w:val="20"/>
          <w:szCs w:val="20"/>
          <w:lang w:val="en-US"/>
        </w:rPr>
        <w:t xml:space="preserve"> (DPRHB)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 xml:space="preserve">Department of Industry, Small and Medium Enterprises and Investment Promotion   </w:t>
      </w:r>
    </w:p>
    <w:p w:rsidR="00C03DAD" w:rsidRPr="00DD58E1" w:rsidRDefault="00C03DAD" w:rsidP="00C03DAD">
      <w:p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  <w:lang w:val="en-US"/>
        </w:rPr>
        <w:t xml:space="preserve">        </w:t>
      </w:r>
      <w:proofErr w:type="spellStart"/>
      <w:r w:rsidRPr="00DD58E1">
        <w:rPr>
          <w:rFonts w:asciiTheme="majorHAnsi" w:hAnsiTheme="majorHAnsi"/>
          <w:sz w:val="20"/>
          <w:szCs w:val="20"/>
          <w:lang w:val="en-US"/>
        </w:rPr>
        <w:t>Boumerdès</w:t>
      </w:r>
      <w:proofErr w:type="spellEnd"/>
      <w:r w:rsidRPr="00DD58E1">
        <w:rPr>
          <w:rFonts w:asciiTheme="majorHAnsi" w:hAnsiTheme="majorHAnsi"/>
          <w:sz w:val="20"/>
          <w:szCs w:val="20"/>
          <w:lang w:val="en-US"/>
        </w:rPr>
        <w:t xml:space="preserve"> (DIPMEPI)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>National Well Services Company (ENSP)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>National Refining Company (NAFTEC)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 xml:space="preserve">Public Company for the Manufacture of </w:t>
      </w:r>
      <w:proofErr w:type="spellStart"/>
      <w:r w:rsidRPr="00DD58E1">
        <w:rPr>
          <w:rFonts w:asciiTheme="majorHAnsi" w:hAnsiTheme="majorHAnsi"/>
          <w:sz w:val="20"/>
          <w:szCs w:val="20"/>
          <w:lang w:val="en-US"/>
        </w:rPr>
        <w:t>Parapharmaceutical</w:t>
      </w:r>
      <w:proofErr w:type="spellEnd"/>
      <w:r w:rsidRPr="00DD58E1">
        <w:rPr>
          <w:rFonts w:asciiTheme="majorHAnsi" w:hAnsiTheme="majorHAnsi"/>
          <w:sz w:val="20"/>
          <w:szCs w:val="20"/>
          <w:lang w:val="en-US"/>
        </w:rPr>
        <w:t xml:space="preserve"> and Personal Hygiene </w:t>
      </w:r>
    </w:p>
    <w:p w:rsidR="00C03DAD" w:rsidRPr="00DD58E1" w:rsidRDefault="00C03DAD" w:rsidP="00C03DAD">
      <w:pPr>
        <w:pStyle w:val="Paragraphedeliste"/>
        <w:spacing w:line="280" w:lineRule="atLeast"/>
        <w:ind w:left="360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>Products (SOCOTHYD)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>CEVITAL Group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proofErr w:type="spellStart"/>
      <w:r w:rsidRPr="00DD58E1">
        <w:rPr>
          <w:rFonts w:asciiTheme="majorHAnsi" w:hAnsiTheme="majorHAnsi"/>
          <w:sz w:val="20"/>
          <w:szCs w:val="20"/>
          <w:lang w:val="en-US"/>
        </w:rPr>
        <w:t>Sonatrach</w:t>
      </w:r>
      <w:proofErr w:type="spellEnd"/>
      <w:r w:rsidRPr="00DD58E1">
        <w:rPr>
          <w:rFonts w:asciiTheme="majorHAnsi" w:hAnsiTheme="majorHAnsi"/>
          <w:sz w:val="20"/>
          <w:szCs w:val="20"/>
          <w:lang w:val="en-US"/>
        </w:rPr>
        <w:t xml:space="preserve"> - Pipeline Transport Branch (TRC-SH)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>National Company of Electricity and Gas Algiers (SONELGAZ)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proofErr w:type="spellStart"/>
      <w:r w:rsidRPr="00DD58E1">
        <w:rPr>
          <w:rFonts w:asciiTheme="majorHAnsi" w:hAnsiTheme="majorHAnsi"/>
          <w:sz w:val="20"/>
          <w:szCs w:val="20"/>
          <w:lang w:val="en-US"/>
        </w:rPr>
        <w:t>Sonatrach</w:t>
      </w:r>
      <w:proofErr w:type="spellEnd"/>
      <w:r w:rsidRPr="00DD58E1">
        <w:rPr>
          <w:rFonts w:asciiTheme="majorHAnsi" w:hAnsiTheme="majorHAnsi"/>
          <w:sz w:val="20"/>
          <w:szCs w:val="20"/>
          <w:lang w:val="en-US"/>
        </w:rPr>
        <w:t xml:space="preserve"> - Upstream Activity (SH)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>Professional Union of the Automotive and Mechanical Industry (UPIAM)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</w:rPr>
      </w:pPr>
      <w:r w:rsidRPr="00DD58E1">
        <w:rPr>
          <w:rFonts w:asciiTheme="majorHAnsi" w:hAnsiTheme="majorHAnsi"/>
          <w:sz w:val="20"/>
          <w:szCs w:val="20"/>
        </w:rPr>
        <w:t xml:space="preserve">Algiers Silicon Technologies </w:t>
      </w:r>
      <w:proofErr w:type="spellStart"/>
      <w:r w:rsidRPr="00DD58E1">
        <w:rPr>
          <w:rFonts w:asciiTheme="majorHAnsi" w:hAnsiTheme="majorHAnsi"/>
          <w:sz w:val="20"/>
          <w:szCs w:val="20"/>
        </w:rPr>
        <w:t>Development</w:t>
      </w:r>
      <w:proofErr w:type="spellEnd"/>
      <w:r w:rsidRPr="00DD58E1">
        <w:rPr>
          <w:rFonts w:asciiTheme="majorHAnsi" w:hAnsiTheme="majorHAnsi"/>
          <w:sz w:val="20"/>
          <w:szCs w:val="20"/>
        </w:rPr>
        <w:t xml:space="preserve"> Unit (UDTS)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>Sahel Chamber of Commerce and Industry (CCI Sahel)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>The Atomic Energy Commission (COMENA)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>The High Commission for the Development of the Steppe (HCDS)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>SIEMENS Spa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>National Office for Geological and Mining Research (</w:t>
      </w:r>
      <w:proofErr w:type="spellStart"/>
      <w:r w:rsidRPr="00DD58E1">
        <w:rPr>
          <w:rFonts w:asciiTheme="majorHAnsi" w:hAnsiTheme="majorHAnsi"/>
          <w:sz w:val="20"/>
          <w:szCs w:val="20"/>
          <w:lang w:val="en-US"/>
        </w:rPr>
        <w:t>Epe</w:t>
      </w:r>
      <w:proofErr w:type="spellEnd"/>
      <w:r w:rsidRPr="00DD58E1">
        <w:rPr>
          <w:rFonts w:asciiTheme="majorHAnsi" w:hAnsiTheme="majorHAnsi"/>
          <w:sz w:val="20"/>
          <w:szCs w:val="20"/>
          <w:lang w:val="en-US"/>
        </w:rPr>
        <w:t xml:space="preserve"> ORGM spa)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>National Well Works Company (ENTP)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>National Drilling Company (ENAFOR)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>The Cement Industrial Group of Algeria (GICA)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 xml:space="preserve">EPE / </w:t>
      </w:r>
      <w:proofErr w:type="spellStart"/>
      <w:r w:rsidRPr="00DD58E1">
        <w:rPr>
          <w:rFonts w:asciiTheme="majorHAnsi" w:hAnsiTheme="majorHAnsi"/>
          <w:sz w:val="20"/>
          <w:szCs w:val="20"/>
          <w:lang w:val="en-US"/>
        </w:rPr>
        <w:t>Divindus</w:t>
      </w:r>
      <w:proofErr w:type="spellEnd"/>
      <w:r w:rsidRPr="00DD58E1">
        <w:rPr>
          <w:rFonts w:asciiTheme="majorHAnsi" w:hAnsiTheme="majorHAnsi"/>
          <w:sz w:val="20"/>
          <w:szCs w:val="20"/>
          <w:lang w:val="en-US"/>
        </w:rPr>
        <w:t xml:space="preserve"> Furniture and Metal Construction / spa (</w:t>
      </w:r>
      <w:proofErr w:type="spellStart"/>
      <w:r w:rsidRPr="00DD58E1">
        <w:rPr>
          <w:rFonts w:asciiTheme="majorHAnsi" w:hAnsiTheme="majorHAnsi"/>
          <w:sz w:val="20"/>
          <w:szCs w:val="20"/>
          <w:lang w:val="en-US"/>
        </w:rPr>
        <w:t>Divindus</w:t>
      </w:r>
      <w:proofErr w:type="spellEnd"/>
      <w:r w:rsidRPr="00DD58E1">
        <w:rPr>
          <w:rFonts w:asciiTheme="majorHAnsi" w:hAnsiTheme="majorHAnsi"/>
          <w:sz w:val="20"/>
          <w:szCs w:val="20"/>
          <w:lang w:val="en-US"/>
        </w:rPr>
        <w:t xml:space="preserve"> MCM)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>National Geophysical Company (ENAGEO)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 xml:space="preserve">ASEA Brown </w:t>
      </w:r>
      <w:proofErr w:type="spellStart"/>
      <w:r w:rsidRPr="00DD58E1">
        <w:rPr>
          <w:rFonts w:asciiTheme="majorHAnsi" w:hAnsiTheme="majorHAnsi"/>
          <w:sz w:val="20"/>
          <w:szCs w:val="20"/>
          <w:lang w:val="en-US"/>
        </w:rPr>
        <w:t>Boveri</w:t>
      </w:r>
      <w:proofErr w:type="spellEnd"/>
      <w:r w:rsidRPr="00DD58E1">
        <w:rPr>
          <w:rFonts w:asciiTheme="majorHAnsi" w:hAnsiTheme="majorHAnsi"/>
          <w:sz w:val="20"/>
          <w:szCs w:val="20"/>
          <w:lang w:val="en-US"/>
        </w:rPr>
        <w:t xml:space="preserve"> (ABB)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>National Employment Agency (ANEM)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>The Textiles and Leather Industrial Group (GETEX).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>Electronics Testing Center (ETC)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proofErr w:type="spellStart"/>
      <w:r w:rsidRPr="00DD58E1">
        <w:rPr>
          <w:rFonts w:asciiTheme="majorHAnsi" w:hAnsiTheme="majorHAnsi"/>
          <w:sz w:val="20"/>
          <w:szCs w:val="20"/>
          <w:lang w:val="en-US"/>
        </w:rPr>
        <w:t>Mojahedin</w:t>
      </w:r>
      <w:proofErr w:type="spellEnd"/>
      <w:r w:rsidRPr="00DD58E1">
        <w:rPr>
          <w:rFonts w:asciiTheme="majorHAnsi" w:hAnsiTheme="majorHAnsi"/>
          <w:sz w:val="20"/>
          <w:szCs w:val="20"/>
          <w:lang w:val="en-US"/>
        </w:rPr>
        <w:t xml:space="preserve"> Leadership (DM)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 xml:space="preserve">National Agency for Studies and Monitoring of the Realization of Railway Investments (ANESRIF) 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 xml:space="preserve">ATM </w:t>
      </w:r>
      <w:proofErr w:type="spellStart"/>
      <w:r w:rsidRPr="00DD58E1">
        <w:rPr>
          <w:rFonts w:asciiTheme="majorHAnsi" w:hAnsiTheme="majorHAnsi"/>
          <w:sz w:val="20"/>
          <w:szCs w:val="20"/>
          <w:lang w:val="en-US"/>
        </w:rPr>
        <w:t>Mobilis</w:t>
      </w:r>
      <w:proofErr w:type="spellEnd"/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>The CAPAF Commission of the FCE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proofErr w:type="spellStart"/>
      <w:r w:rsidRPr="00DD58E1">
        <w:rPr>
          <w:rFonts w:asciiTheme="majorHAnsi" w:hAnsiTheme="majorHAnsi"/>
          <w:sz w:val="20"/>
          <w:szCs w:val="20"/>
          <w:lang w:val="en-US"/>
        </w:rPr>
        <w:t>Sonatrach</w:t>
      </w:r>
      <w:proofErr w:type="spellEnd"/>
      <w:r w:rsidRPr="00DD58E1">
        <w:rPr>
          <w:rFonts w:asciiTheme="majorHAnsi" w:hAnsiTheme="majorHAnsi"/>
          <w:sz w:val="20"/>
          <w:szCs w:val="20"/>
          <w:lang w:val="en-US"/>
        </w:rPr>
        <w:t xml:space="preserve"> spa Hydra (SONATRACH SPA)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 xml:space="preserve">Department of Agricultural Services of the Wilaya of </w:t>
      </w:r>
      <w:proofErr w:type="spellStart"/>
      <w:r w:rsidRPr="00DD58E1">
        <w:rPr>
          <w:rFonts w:asciiTheme="majorHAnsi" w:hAnsiTheme="majorHAnsi"/>
          <w:sz w:val="20"/>
          <w:szCs w:val="20"/>
          <w:lang w:val="en-US"/>
        </w:rPr>
        <w:t>Boumerdes</w:t>
      </w:r>
      <w:proofErr w:type="spellEnd"/>
      <w:r w:rsidRPr="00DD58E1">
        <w:rPr>
          <w:rFonts w:asciiTheme="majorHAnsi" w:hAnsiTheme="majorHAnsi"/>
          <w:sz w:val="20"/>
          <w:szCs w:val="20"/>
          <w:lang w:val="en-US"/>
        </w:rPr>
        <w:t xml:space="preserve"> (DSA)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 xml:space="preserve">Department of Culture of the Wilaya of </w:t>
      </w:r>
      <w:proofErr w:type="spellStart"/>
      <w:r w:rsidRPr="00DD58E1">
        <w:rPr>
          <w:rFonts w:asciiTheme="majorHAnsi" w:hAnsiTheme="majorHAnsi"/>
          <w:sz w:val="20"/>
          <w:szCs w:val="20"/>
          <w:lang w:val="en-US"/>
        </w:rPr>
        <w:t>Boumerdes</w:t>
      </w:r>
      <w:proofErr w:type="spellEnd"/>
      <w:r w:rsidRPr="00DD58E1">
        <w:rPr>
          <w:rFonts w:asciiTheme="majorHAnsi" w:hAnsiTheme="majorHAnsi"/>
          <w:sz w:val="20"/>
          <w:szCs w:val="20"/>
          <w:lang w:val="en-US"/>
        </w:rPr>
        <w:t xml:space="preserve"> (DC)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proofErr w:type="spellStart"/>
      <w:r w:rsidRPr="00DD58E1">
        <w:rPr>
          <w:rFonts w:asciiTheme="majorHAnsi" w:hAnsiTheme="majorHAnsi"/>
          <w:sz w:val="20"/>
          <w:szCs w:val="20"/>
          <w:lang w:val="en-US"/>
        </w:rPr>
        <w:t>Saidal</w:t>
      </w:r>
      <w:proofErr w:type="spellEnd"/>
      <w:r w:rsidRPr="00DD58E1">
        <w:rPr>
          <w:rFonts w:asciiTheme="majorHAnsi" w:hAnsiTheme="majorHAnsi"/>
          <w:sz w:val="20"/>
          <w:szCs w:val="20"/>
          <w:lang w:val="en-US"/>
        </w:rPr>
        <w:t xml:space="preserve"> Group (SAIDAL)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>Spa ORFEE Subsidiary of the BCR Group (Spa ORFEEBCR)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proofErr w:type="spellStart"/>
      <w:r w:rsidRPr="00DD58E1">
        <w:rPr>
          <w:rFonts w:asciiTheme="majorHAnsi" w:hAnsiTheme="majorHAnsi"/>
          <w:sz w:val="20"/>
          <w:szCs w:val="20"/>
          <w:lang w:val="en-US"/>
        </w:rPr>
        <w:t>Sarl</w:t>
      </w:r>
      <w:proofErr w:type="spellEnd"/>
      <w:r w:rsidRPr="00DD58E1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DD58E1">
        <w:rPr>
          <w:rFonts w:asciiTheme="majorHAnsi" w:hAnsiTheme="majorHAnsi"/>
          <w:sz w:val="20"/>
          <w:szCs w:val="20"/>
          <w:lang w:val="en-US"/>
        </w:rPr>
        <w:t>Biosource</w:t>
      </w:r>
      <w:proofErr w:type="spellEnd"/>
      <w:r w:rsidRPr="00DD58E1">
        <w:rPr>
          <w:rFonts w:asciiTheme="majorHAnsi" w:hAnsiTheme="majorHAnsi"/>
          <w:sz w:val="20"/>
          <w:szCs w:val="20"/>
          <w:lang w:val="en-US"/>
        </w:rPr>
        <w:t xml:space="preserve"> (</w:t>
      </w:r>
      <w:proofErr w:type="spellStart"/>
      <w:r w:rsidRPr="00DD58E1">
        <w:rPr>
          <w:rFonts w:asciiTheme="majorHAnsi" w:hAnsiTheme="majorHAnsi"/>
          <w:sz w:val="20"/>
          <w:szCs w:val="20"/>
          <w:lang w:val="en-US"/>
        </w:rPr>
        <w:t>Biosource</w:t>
      </w:r>
      <w:proofErr w:type="spellEnd"/>
      <w:r w:rsidRPr="00DD58E1">
        <w:rPr>
          <w:rFonts w:asciiTheme="majorHAnsi" w:hAnsiTheme="majorHAnsi"/>
          <w:sz w:val="20"/>
          <w:szCs w:val="20"/>
          <w:lang w:val="en-US"/>
        </w:rPr>
        <w:t>).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lastRenderedPageBreak/>
        <w:t>National Agency for the Development of Hydrocarbon Resources. (ALNAFT)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>National Company for the Marketing and Distribution of Petroleum Products (NAFTAL SPA)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>Major Public and Hydraulic Works Company (EGTPH)</w:t>
      </w:r>
    </w:p>
    <w:p w:rsidR="00C03DAD" w:rsidRPr="00DD58E1" w:rsidRDefault="00C03DAD" w:rsidP="00C03DAD">
      <w:pPr>
        <w:pStyle w:val="Paragraphedeliste"/>
        <w:numPr>
          <w:ilvl w:val="0"/>
          <w:numId w:val="9"/>
        </w:numPr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r w:rsidRPr="00DD58E1">
        <w:rPr>
          <w:rFonts w:asciiTheme="majorHAnsi" w:hAnsiTheme="majorHAnsi"/>
          <w:sz w:val="20"/>
          <w:szCs w:val="20"/>
          <w:lang w:val="en-US"/>
        </w:rPr>
        <w:t xml:space="preserve">Department of Health and Population of the Wilaya of </w:t>
      </w:r>
      <w:proofErr w:type="spellStart"/>
      <w:r w:rsidRPr="00DD58E1">
        <w:rPr>
          <w:rFonts w:asciiTheme="majorHAnsi" w:hAnsiTheme="majorHAnsi"/>
          <w:sz w:val="20"/>
          <w:szCs w:val="20"/>
          <w:lang w:val="en-US"/>
        </w:rPr>
        <w:t>Boumerdes</w:t>
      </w:r>
      <w:proofErr w:type="spellEnd"/>
      <w:r w:rsidRPr="00DD58E1">
        <w:rPr>
          <w:rFonts w:asciiTheme="majorHAnsi" w:hAnsiTheme="majorHAnsi"/>
          <w:sz w:val="20"/>
          <w:szCs w:val="20"/>
          <w:lang w:val="en-US"/>
        </w:rPr>
        <w:t xml:space="preserve"> (DSP)</w:t>
      </w:r>
    </w:p>
    <w:p w:rsidR="00C03DAD" w:rsidRDefault="00C03DAD" w:rsidP="00C03DAD">
      <w:pPr>
        <w:pStyle w:val="PrformatHTML"/>
        <w:numPr>
          <w:ilvl w:val="0"/>
          <w:numId w:val="9"/>
        </w:numPr>
        <w:rPr>
          <w:rFonts w:asciiTheme="majorHAnsi" w:hAnsiTheme="majorHAnsi" w:cs="Times New Roman"/>
          <w:lang w:val="en-US"/>
        </w:rPr>
      </w:pPr>
      <w:r w:rsidRPr="00087E69">
        <w:rPr>
          <w:rFonts w:asciiTheme="majorHAnsi" w:hAnsiTheme="majorHAnsi" w:cs="Times New Roman"/>
          <w:lang w:val="en-US"/>
        </w:rPr>
        <w:t>National Union of Algerian Peasants (UNPA)</w:t>
      </w:r>
    </w:p>
    <w:p w:rsidR="00C03DAD" w:rsidRPr="00CB1229" w:rsidRDefault="00C03DAD" w:rsidP="00C03DAD">
      <w:pPr>
        <w:pStyle w:val="PrformatHTML"/>
        <w:numPr>
          <w:ilvl w:val="0"/>
          <w:numId w:val="9"/>
        </w:numPr>
        <w:rPr>
          <w:rFonts w:asciiTheme="majorHAnsi" w:hAnsiTheme="majorHAnsi" w:cs="Times New Roman"/>
          <w:lang w:val="en-US"/>
        </w:rPr>
      </w:pPr>
      <w:r w:rsidRPr="00CB1229">
        <w:rPr>
          <w:rFonts w:asciiTheme="majorHAnsi" w:hAnsiTheme="majorHAnsi" w:cs="Times New Roman"/>
          <w:lang w:val="en-US"/>
        </w:rPr>
        <w:t>Public Establishment of Urban and Suburban Transport of Algiers (ETUSA)</w:t>
      </w:r>
    </w:p>
    <w:p w:rsidR="00C03DAD" w:rsidRPr="00CB1229" w:rsidRDefault="00C03DAD" w:rsidP="00C03DAD">
      <w:pPr>
        <w:pStyle w:val="PrformatHTML"/>
        <w:numPr>
          <w:ilvl w:val="0"/>
          <w:numId w:val="9"/>
        </w:numPr>
        <w:rPr>
          <w:rFonts w:asciiTheme="majorHAnsi" w:hAnsiTheme="majorHAnsi" w:cs="Times New Roman"/>
          <w:lang w:val="en-US"/>
        </w:rPr>
      </w:pPr>
      <w:r w:rsidRPr="00CB1229">
        <w:rPr>
          <w:rFonts w:asciiTheme="majorHAnsi" w:hAnsiTheme="majorHAnsi" w:cs="Times New Roman"/>
          <w:lang w:val="en-US"/>
        </w:rPr>
        <w:t xml:space="preserve">Directorate of Civil Protection of the Wilaya of </w:t>
      </w:r>
      <w:proofErr w:type="spellStart"/>
      <w:r w:rsidRPr="00CB1229">
        <w:rPr>
          <w:rFonts w:asciiTheme="majorHAnsi" w:hAnsiTheme="majorHAnsi" w:cs="Times New Roman"/>
          <w:lang w:val="en-US"/>
        </w:rPr>
        <w:t>Boumerdes</w:t>
      </w:r>
      <w:proofErr w:type="spellEnd"/>
      <w:r w:rsidRPr="00CB1229">
        <w:rPr>
          <w:rFonts w:asciiTheme="majorHAnsi" w:hAnsiTheme="majorHAnsi" w:cs="Times New Roman"/>
          <w:lang w:val="en-US"/>
        </w:rPr>
        <w:t xml:space="preserve"> (DPC)</w:t>
      </w:r>
    </w:p>
    <w:p w:rsidR="00C03DAD" w:rsidRPr="00A27BE0" w:rsidRDefault="00C03DAD" w:rsidP="00C03DAD">
      <w:pPr>
        <w:pStyle w:val="PrformatHTML"/>
        <w:numPr>
          <w:ilvl w:val="0"/>
          <w:numId w:val="9"/>
        </w:numPr>
        <w:rPr>
          <w:rFonts w:asciiTheme="majorHAnsi" w:hAnsiTheme="majorHAnsi" w:cs="Times New Roman"/>
          <w:lang w:val="en-US"/>
        </w:rPr>
      </w:pPr>
      <w:r w:rsidRPr="00A27BE0">
        <w:rPr>
          <w:rFonts w:asciiTheme="majorHAnsi" w:hAnsiTheme="majorHAnsi" w:cs="Times New Roman"/>
          <w:lang w:val="en-US"/>
        </w:rPr>
        <w:t>Agency for the Development of PMI and the Promotion of Innovation (ADMEP)</w:t>
      </w:r>
    </w:p>
    <w:p w:rsidR="00CE1254" w:rsidRPr="00E9260C" w:rsidRDefault="00CE1254" w:rsidP="008F1B9E">
      <w:pPr>
        <w:pStyle w:val="PrformatHTML"/>
        <w:numPr>
          <w:ilvl w:val="0"/>
          <w:numId w:val="9"/>
        </w:numPr>
        <w:shd w:val="clear" w:color="auto" w:fill="FFFFFF" w:themeFill="background1"/>
        <w:rPr>
          <w:rFonts w:asciiTheme="majorHAnsi" w:hAnsiTheme="majorHAnsi" w:cs="Times New Roman"/>
          <w:lang w:val="en-US"/>
        </w:rPr>
      </w:pPr>
      <w:r w:rsidRPr="00E9260C">
        <w:rPr>
          <w:rFonts w:asciiTheme="majorHAnsi" w:hAnsiTheme="majorHAnsi" w:cs="Times New Roman"/>
          <w:lang w:val="en-US"/>
        </w:rPr>
        <w:t xml:space="preserve">Radio de </w:t>
      </w:r>
      <w:proofErr w:type="spellStart"/>
      <w:r w:rsidRPr="00E9260C">
        <w:rPr>
          <w:rFonts w:asciiTheme="majorHAnsi" w:hAnsiTheme="majorHAnsi" w:cs="Times New Roman"/>
          <w:lang w:val="en-US"/>
        </w:rPr>
        <w:t>Boumerdes</w:t>
      </w:r>
      <w:proofErr w:type="spellEnd"/>
      <w:r w:rsidRPr="00E9260C">
        <w:rPr>
          <w:rFonts w:asciiTheme="majorHAnsi" w:hAnsiTheme="majorHAnsi" w:cs="Times New Roman"/>
          <w:lang w:val="en-US"/>
        </w:rPr>
        <w:t xml:space="preserve"> (RB)</w:t>
      </w:r>
    </w:p>
    <w:p w:rsidR="008F1B9E" w:rsidRPr="00E9260C" w:rsidRDefault="008F1B9E" w:rsidP="008F1B9E">
      <w:pPr>
        <w:pStyle w:val="PrformatHTML"/>
        <w:numPr>
          <w:ilvl w:val="0"/>
          <w:numId w:val="9"/>
        </w:numPr>
        <w:shd w:val="clear" w:color="auto" w:fill="FFFFFF" w:themeFill="background1"/>
        <w:rPr>
          <w:rFonts w:asciiTheme="majorHAnsi" w:hAnsiTheme="majorHAnsi" w:cs="Times New Roman"/>
          <w:lang w:val="en-US"/>
        </w:rPr>
      </w:pPr>
      <w:proofErr w:type="spellStart"/>
      <w:r w:rsidRPr="00E9260C">
        <w:rPr>
          <w:rFonts w:asciiTheme="majorHAnsi" w:hAnsiTheme="majorHAnsi" w:cs="Times New Roman"/>
          <w:lang w:val="en-US"/>
        </w:rPr>
        <w:t>Zeralda</w:t>
      </w:r>
      <w:proofErr w:type="spellEnd"/>
      <w:r w:rsidRPr="00E9260C">
        <w:rPr>
          <w:rFonts w:asciiTheme="majorHAnsi" w:hAnsiTheme="majorHAnsi" w:cs="Times New Roman"/>
          <w:lang w:val="en-US"/>
        </w:rPr>
        <w:t xml:space="preserve"> Hunting Center (CCZ)</w:t>
      </w:r>
    </w:p>
    <w:p w:rsidR="003606AC" w:rsidRPr="00E9260C" w:rsidRDefault="003606AC" w:rsidP="008F1B9E">
      <w:pPr>
        <w:pStyle w:val="PrformatHTML"/>
        <w:numPr>
          <w:ilvl w:val="0"/>
          <w:numId w:val="9"/>
        </w:numPr>
        <w:shd w:val="clear" w:color="auto" w:fill="FFFFFF" w:themeFill="background1"/>
        <w:rPr>
          <w:rFonts w:asciiTheme="majorHAnsi" w:hAnsiTheme="majorHAnsi" w:cs="Times New Roman"/>
          <w:lang w:val="en-US"/>
        </w:rPr>
      </w:pPr>
      <w:r w:rsidRPr="00E9260C">
        <w:rPr>
          <w:rFonts w:asciiTheme="majorHAnsi" w:hAnsiTheme="majorHAnsi" w:cs="Times New Roman"/>
          <w:lang w:val="en-US"/>
        </w:rPr>
        <w:t>Renewable Energy Development Center (CDER)</w:t>
      </w:r>
    </w:p>
    <w:p w:rsidR="00A27BE0" w:rsidRPr="00E9260C" w:rsidRDefault="00A27BE0" w:rsidP="008F1B9E">
      <w:pPr>
        <w:pStyle w:val="Paragraphedeliste"/>
        <w:numPr>
          <w:ilvl w:val="0"/>
          <w:numId w:val="9"/>
        </w:numPr>
        <w:shd w:val="clear" w:color="auto" w:fill="FFFFFF" w:themeFill="background1"/>
        <w:rPr>
          <w:rFonts w:asciiTheme="majorHAnsi" w:hAnsiTheme="majorHAnsi"/>
          <w:sz w:val="20"/>
          <w:szCs w:val="20"/>
          <w:lang w:val="en-US"/>
        </w:rPr>
      </w:pPr>
      <w:bookmarkStart w:id="0" w:name="_Hlk165194388"/>
      <w:proofErr w:type="spellStart"/>
      <w:r w:rsidRPr="00E9260C">
        <w:rPr>
          <w:rFonts w:asciiTheme="majorHAnsi" w:hAnsiTheme="majorHAnsi"/>
          <w:sz w:val="20"/>
          <w:szCs w:val="20"/>
          <w:lang w:val="en-US"/>
        </w:rPr>
        <w:t>Elsewedy</w:t>
      </w:r>
      <w:proofErr w:type="spellEnd"/>
      <w:r w:rsidRPr="00E9260C">
        <w:rPr>
          <w:rFonts w:asciiTheme="majorHAnsi" w:hAnsiTheme="majorHAnsi"/>
          <w:sz w:val="20"/>
          <w:szCs w:val="20"/>
          <w:lang w:val="en-US"/>
        </w:rPr>
        <w:t xml:space="preserve"> Cables Algeria (ELSEWEDY)</w:t>
      </w:r>
      <w:bookmarkEnd w:id="0"/>
    </w:p>
    <w:p w:rsidR="00A27BE0" w:rsidRPr="00E9260C" w:rsidRDefault="00A27BE0" w:rsidP="008F1B9E">
      <w:pPr>
        <w:pStyle w:val="Paragraphedeliste"/>
        <w:numPr>
          <w:ilvl w:val="0"/>
          <w:numId w:val="9"/>
        </w:numPr>
        <w:shd w:val="clear" w:color="auto" w:fill="FFFFFF" w:themeFill="background1"/>
        <w:spacing w:line="280" w:lineRule="atLeast"/>
        <w:rPr>
          <w:rFonts w:asciiTheme="majorHAnsi" w:hAnsiTheme="majorHAnsi"/>
          <w:sz w:val="20"/>
          <w:szCs w:val="20"/>
          <w:lang w:val="en-US"/>
        </w:rPr>
      </w:pPr>
      <w:bookmarkStart w:id="1" w:name="_Hlk165194335"/>
      <w:r w:rsidRPr="00E9260C">
        <w:rPr>
          <w:rFonts w:asciiTheme="majorHAnsi" w:hAnsiTheme="majorHAnsi"/>
          <w:sz w:val="20"/>
          <w:szCs w:val="20"/>
          <w:lang w:val="en-US"/>
        </w:rPr>
        <w:t>Direction Centrale des Carburants (DCC/MDN)</w:t>
      </w:r>
      <w:bookmarkEnd w:id="1"/>
    </w:p>
    <w:p w:rsidR="00A27BE0" w:rsidRPr="00E9260C" w:rsidRDefault="00A27BE0" w:rsidP="00A27BE0">
      <w:pPr>
        <w:pStyle w:val="PrformatHTML"/>
        <w:rPr>
          <w:rFonts w:asciiTheme="majorHAnsi" w:hAnsiTheme="majorHAnsi" w:cs="Times New Roman"/>
          <w:lang w:val="en-US"/>
        </w:rPr>
      </w:pPr>
    </w:p>
    <w:p w:rsidR="00C03DAD" w:rsidRPr="00A27BE0" w:rsidRDefault="00C03DAD" w:rsidP="00C03DAD">
      <w:pPr>
        <w:pStyle w:val="PrformatHTML"/>
        <w:rPr>
          <w:rFonts w:asciiTheme="majorHAnsi" w:hAnsiTheme="majorHAnsi" w:cs="Times New Roman"/>
          <w:color w:val="FF0000"/>
          <w:lang w:val="en-US"/>
        </w:rPr>
      </w:pPr>
    </w:p>
    <w:p w:rsidR="00C03DAD" w:rsidRPr="00705F69" w:rsidRDefault="00C03DAD" w:rsidP="00C03DAD">
      <w:pPr>
        <w:spacing w:line="240" w:lineRule="atLeast"/>
        <w:ind w:right="-16"/>
        <w:jc w:val="both"/>
        <w:rPr>
          <w:rFonts w:asciiTheme="majorHAnsi" w:hAnsiTheme="majorHAnsi" w:cs="Arial"/>
          <w:b/>
          <w:bCs/>
          <w:color w:val="00B050"/>
          <w:sz w:val="10"/>
          <w:szCs w:val="10"/>
          <w:u w:val="single"/>
          <w:lang w:val="en-US"/>
        </w:rPr>
      </w:pPr>
      <w:bookmarkStart w:id="2" w:name="_GoBack"/>
      <w:bookmarkEnd w:id="2"/>
    </w:p>
    <w:sectPr w:rsidR="00C03DAD" w:rsidRPr="00705F69" w:rsidSect="00E335CC">
      <w:pgSz w:w="11906" w:h="16838"/>
      <w:pgMar w:top="426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2C0D" w:rsidRDefault="00332C0D" w:rsidP="008F1B9E">
      <w:r>
        <w:separator/>
      </w:r>
    </w:p>
  </w:endnote>
  <w:endnote w:type="continuationSeparator" w:id="0">
    <w:p w:rsidR="00332C0D" w:rsidRDefault="00332C0D" w:rsidP="008F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2C0D" w:rsidRDefault="00332C0D" w:rsidP="008F1B9E">
      <w:r>
        <w:separator/>
      </w:r>
    </w:p>
  </w:footnote>
  <w:footnote w:type="continuationSeparator" w:id="0">
    <w:p w:rsidR="00332C0D" w:rsidRDefault="00332C0D" w:rsidP="008F1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A67BF"/>
    <w:multiLevelType w:val="hybridMultilevel"/>
    <w:tmpl w:val="57EA083A"/>
    <w:lvl w:ilvl="0" w:tplc="8BD4EC04">
      <w:start w:val="4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4292"/>
    <w:multiLevelType w:val="hybridMultilevel"/>
    <w:tmpl w:val="3E747330"/>
    <w:lvl w:ilvl="0" w:tplc="5AB06E3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46929F0"/>
    <w:multiLevelType w:val="hybridMultilevel"/>
    <w:tmpl w:val="D8DCF850"/>
    <w:lvl w:ilvl="0" w:tplc="23086A14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3B8D"/>
    <w:multiLevelType w:val="hybridMultilevel"/>
    <w:tmpl w:val="34540C34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" w15:restartNumberingAfterBreak="0">
    <w:nsid w:val="24F34804"/>
    <w:multiLevelType w:val="hybridMultilevel"/>
    <w:tmpl w:val="C428EDF6"/>
    <w:lvl w:ilvl="0" w:tplc="B6765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973ED1"/>
    <w:multiLevelType w:val="hybridMultilevel"/>
    <w:tmpl w:val="049AF9C8"/>
    <w:lvl w:ilvl="0" w:tplc="0C1ABF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6366F"/>
    <w:multiLevelType w:val="hybridMultilevel"/>
    <w:tmpl w:val="35F8BD6C"/>
    <w:lvl w:ilvl="0" w:tplc="A99402C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2A577837"/>
    <w:multiLevelType w:val="hybridMultilevel"/>
    <w:tmpl w:val="B004214E"/>
    <w:lvl w:ilvl="0" w:tplc="88849D5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86A88"/>
    <w:multiLevelType w:val="hybridMultilevel"/>
    <w:tmpl w:val="5F9C764C"/>
    <w:lvl w:ilvl="0" w:tplc="F3DE2866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305" w:hanging="360"/>
      </w:pPr>
    </w:lvl>
    <w:lvl w:ilvl="2" w:tplc="040C001B" w:tentative="1">
      <w:start w:val="1"/>
      <w:numFmt w:val="lowerRoman"/>
      <w:lvlText w:val="%3."/>
      <w:lvlJc w:val="right"/>
      <w:pPr>
        <w:ind w:left="1025" w:hanging="180"/>
      </w:pPr>
    </w:lvl>
    <w:lvl w:ilvl="3" w:tplc="040C000F" w:tentative="1">
      <w:start w:val="1"/>
      <w:numFmt w:val="decimal"/>
      <w:lvlText w:val="%4."/>
      <w:lvlJc w:val="left"/>
      <w:pPr>
        <w:ind w:left="1745" w:hanging="360"/>
      </w:pPr>
    </w:lvl>
    <w:lvl w:ilvl="4" w:tplc="040C0019" w:tentative="1">
      <w:start w:val="1"/>
      <w:numFmt w:val="lowerLetter"/>
      <w:lvlText w:val="%5."/>
      <w:lvlJc w:val="left"/>
      <w:pPr>
        <w:ind w:left="2465" w:hanging="360"/>
      </w:pPr>
    </w:lvl>
    <w:lvl w:ilvl="5" w:tplc="040C001B" w:tentative="1">
      <w:start w:val="1"/>
      <w:numFmt w:val="lowerRoman"/>
      <w:lvlText w:val="%6."/>
      <w:lvlJc w:val="right"/>
      <w:pPr>
        <w:ind w:left="3185" w:hanging="180"/>
      </w:pPr>
    </w:lvl>
    <w:lvl w:ilvl="6" w:tplc="040C000F" w:tentative="1">
      <w:start w:val="1"/>
      <w:numFmt w:val="decimal"/>
      <w:lvlText w:val="%7."/>
      <w:lvlJc w:val="left"/>
      <w:pPr>
        <w:ind w:left="3905" w:hanging="360"/>
      </w:pPr>
    </w:lvl>
    <w:lvl w:ilvl="7" w:tplc="040C0019" w:tentative="1">
      <w:start w:val="1"/>
      <w:numFmt w:val="lowerLetter"/>
      <w:lvlText w:val="%8."/>
      <w:lvlJc w:val="left"/>
      <w:pPr>
        <w:ind w:left="4625" w:hanging="360"/>
      </w:pPr>
    </w:lvl>
    <w:lvl w:ilvl="8" w:tplc="040C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9" w15:restartNumberingAfterBreak="0">
    <w:nsid w:val="33FD352C"/>
    <w:multiLevelType w:val="hybridMultilevel"/>
    <w:tmpl w:val="3C0AA0BE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7388BC36">
      <w:numFmt w:val="bullet"/>
      <w:lvlText w:val="•"/>
      <w:lvlJc w:val="left"/>
      <w:pPr>
        <w:ind w:left="1800" w:hanging="360"/>
      </w:pPr>
      <w:rPr>
        <w:rFonts w:ascii="Cambria" w:eastAsia="Times New Roman" w:hAnsi="Cambria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367848"/>
    <w:multiLevelType w:val="hybridMultilevel"/>
    <w:tmpl w:val="737E0DDC"/>
    <w:lvl w:ilvl="0" w:tplc="F78E898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Theme="majorBidi" w:hAnsiTheme="majorBidi" w:cstheme="majorBidi" w:hint="default"/>
        <w:b w:val="0"/>
        <w:bCs w:val="0"/>
        <w:sz w:val="20"/>
        <w:szCs w:val="20"/>
      </w:rPr>
    </w:lvl>
    <w:lvl w:ilvl="1" w:tplc="E0FCBF2E">
      <w:start w:val="2000"/>
      <w:numFmt w:val="decimal"/>
      <w:lvlText w:val="%2"/>
      <w:lvlJc w:val="left"/>
      <w:pPr>
        <w:tabs>
          <w:tab w:val="num" w:pos="1710"/>
        </w:tabs>
        <w:ind w:left="1710" w:hanging="63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A3151F"/>
    <w:multiLevelType w:val="hybridMultilevel"/>
    <w:tmpl w:val="5CF496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75ADD"/>
    <w:multiLevelType w:val="hybridMultilevel"/>
    <w:tmpl w:val="96A4B38C"/>
    <w:lvl w:ilvl="0" w:tplc="79D67B42">
      <w:start w:val="1"/>
      <w:numFmt w:val="decimal"/>
      <w:lvlText w:val="%1-"/>
      <w:lvlJc w:val="left"/>
      <w:pPr>
        <w:ind w:left="786" w:hanging="360"/>
      </w:pPr>
      <w:rPr>
        <w:rFonts w:ascii="Times New Roman" w:eastAsia="Times New Roman" w:hAnsi="Times New Roman" w:cs="Arabic Transparent"/>
        <w:b w:val="0"/>
        <w:bCs w:val="0"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27C20"/>
    <w:multiLevelType w:val="hybridMultilevel"/>
    <w:tmpl w:val="49A0D916"/>
    <w:lvl w:ilvl="0" w:tplc="6ACA5E18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305" w:hanging="360"/>
      </w:pPr>
    </w:lvl>
    <w:lvl w:ilvl="2" w:tplc="040C001B" w:tentative="1">
      <w:start w:val="1"/>
      <w:numFmt w:val="lowerRoman"/>
      <w:lvlText w:val="%3."/>
      <w:lvlJc w:val="right"/>
      <w:pPr>
        <w:ind w:left="1025" w:hanging="180"/>
      </w:pPr>
    </w:lvl>
    <w:lvl w:ilvl="3" w:tplc="040C000F" w:tentative="1">
      <w:start w:val="1"/>
      <w:numFmt w:val="decimal"/>
      <w:lvlText w:val="%4."/>
      <w:lvlJc w:val="left"/>
      <w:pPr>
        <w:ind w:left="1745" w:hanging="360"/>
      </w:pPr>
    </w:lvl>
    <w:lvl w:ilvl="4" w:tplc="040C0019" w:tentative="1">
      <w:start w:val="1"/>
      <w:numFmt w:val="lowerLetter"/>
      <w:lvlText w:val="%5."/>
      <w:lvlJc w:val="left"/>
      <w:pPr>
        <w:ind w:left="2465" w:hanging="360"/>
      </w:pPr>
    </w:lvl>
    <w:lvl w:ilvl="5" w:tplc="040C001B" w:tentative="1">
      <w:start w:val="1"/>
      <w:numFmt w:val="lowerRoman"/>
      <w:lvlText w:val="%6."/>
      <w:lvlJc w:val="right"/>
      <w:pPr>
        <w:ind w:left="3185" w:hanging="180"/>
      </w:pPr>
    </w:lvl>
    <w:lvl w:ilvl="6" w:tplc="040C000F" w:tentative="1">
      <w:start w:val="1"/>
      <w:numFmt w:val="decimal"/>
      <w:lvlText w:val="%7."/>
      <w:lvlJc w:val="left"/>
      <w:pPr>
        <w:ind w:left="3905" w:hanging="360"/>
      </w:pPr>
    </w:lvl>
    <w:lvl w:ilvl="7" w:tplc="040C0019" w:tentative="1">
      <w:start w:val="1"/>
      <w:numFmt w:val="lowerLetter"/>
      <w:lvlText w:val="%8."/>
      <w:lvlJc w:val="left"/>
      <w:pPr>
        <w:ind w:left="4625" w:hanging="360"/>
      </w:pPr>
    </w:lvl>
    <w:lvl w:ilvl="8" w:tplc="040C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14" w15:restartNumberingAfterBreak="0">
    <w:nsid w:val="7BF365C0"/>
    <w:multiLevelType w:val="multilevel"/>
    <w:tmpl w:val="C04A692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3"/>
  </w:num>
  <w:num w:numId="8">
    <w:abstractNumId w:val="8"/>
  </w:num>
  <w:num w:numId="9">
    <w:abstractNumId w:val="0"/>
  </w:num>
  <w:num w:numId="10">
    <w:abstractNumId w:val="10"/>
  </w:num>
  <w:num w:numId="11">
    <w:abstractNumId w:val="12"/>
  </w:num>
  <w:num w:numId="12">
    <w:abstractNumId w:val="3"/>
  </w:num>
  <w:num w:numId="13">
    <w:abstractNumId w:val="14"/>
  </w:num>
  <w:num w:numId="14">
    <w:abstractNumId w:val="6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64"/>
    <w:rsid w:val="000B71E5"/>
    <w:rsid w:val="000D5F71"/>
    <w:rsid w:val="00122DDB"/>
    <w:rsid w:val="0014788E"/>
    <w:rsid w:val="001538FE"/>
    <w:rsid w:val="00332C0D"/>
    <w:rsid w:val="00341D14"/>
    <w:rsid w:val="003606AC"/>
    <w:rsid w:val="00376637"/>
    <w:rsid w:val="003D7D77"/>
    <w:rsid w:val="00430F49"/>
    <w:rsid w:val="00476714"/>
    <w:rsid w:val="004A6E1B"/>
    <w:rsid w:val="004C6E58"/>
    <w:rsid w:val="006051F9"/>
    <w:rsid w:val="0069108D"/>
    <w:rsid w:val="006A51D2"/>
    <w:rsid w:val="0070237A"/>
    <w:rsid w:val="0071652E"/>
    <w:rsid w:val="00806F50"/>
    <w:rsid w:val="00815D51"/>
    <w:rsid w:val="00824369"/>
    <w:rsid w:val="008F1B9E"/>
    <w:rsid w:val="00954A0A"/>
    <w:rsid w:val="0097791A"/>
    <w:rsid w:val="009F4539"/>
    <w:rsid w:val="00A0271C"/>
    <w:rsid w:val="00A11449"/>
    <w:rsid w:val="00A27BE0"/>
    <w:rsid w:val="00A3535C"/>
    <w:rsid w:val="00AA1A84"/>
    <w:rsid w:val="00AC57F8"/>
    <w:rsid w:val="00AD6696"/>
    <w:rsid w:val="00B12EC5"/>
    <w:rsid w:val="00B944FA"/>
    <w:rsid w:val="00BF42DA"/>
    <w:rsid w:val="00C03DAD"/>
    <w:rsid w:val="00C659B4"/>
    <w:rsid w:val="00C762C8"/>
    <w:rsid w:val="00CB25AC"/>
    <w:rsid w:val="00CE1254"/>
    <w:rsid w:val="00CE625C"/>
    <w:rsid w:val="00D16674"/>
    <w:rsid w:val="00DF2764"/>
    <w:rsid w:val="00DF3D2F"/>
    <w:rsid w:val="00E335CC"/>
    <w:rsid w:val="00E35986"/>
    <w:rsid w:val="00E62388"/>
    <w:rsid w:val="00E9260C"/>
    <w:rsid w:val="00EF0663"/>
    <w:rsid w:val="00F117A3"/>
    <w:rsid w:val="00F83DB4"/>
    <w:rsid w:val="00FB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9CE81-1B08-48E5-9030-692D9524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DF2764"/>
    <w:pPr>
      <w:ind w:left="720"/>
      <w:contextualSpacing/>
    </w:pPr>
  </w:style>
  <w:style w:type="table" w:styleId="Grilledutableau">
    <w:name w:val="Table Grid"/>
    <w:basedOn w:val="TableauNormal"/>
    <w:uiPriority w:val="59"/>
    <w:rsid w:val="00DF2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unhideWhenUsed/>
    <w:rsid w:val="00DF2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DF2764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F276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rsid w:val="00DF276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DF2764"/>
  </w:style>
  <w:style w:type="character" w:customStyle="1" w:styleId="hps">
    <w:name w:val="hps"/>
    <w:basedOn w:val="Policepardfaut"/>
    <w:rsid w:val="00DF2764"/>
  </w:style>
  <w:style w:type="character" w:customStyle="1" w:styleId="hpsatn">
    <w:name w:val="hps atn"/>
    <w:basedOn w:val="Policepardfaut"/>
    <w:rsid w:val="00DF2764"/>
  </w:style>
  <w:style w:type="paragraph" w:styleId="En-tte">
    <w:name w:val="header"/>
    <w:basedOn w:val="Normal"/>
    <w:link w:val="En-tteCar"/>
    <w:uiPriority w:val="99"/>
    <w:unhideWhenUsed/>
    <w:rsid w:val="008F1B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1B9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F1B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1B9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1297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IBAOUNI</dc:creator>
  <cp:keywords/>
  <dc:description/>
  <cp:lastModifiedBy>Faiza IBAOUNI</cp:lastModifiedBy>
  <cp:revision>3</cp:revision>
  <dcterms:created xsi:type="dcterms:W3CDTF">2024-04-29T02:03:00Z</dcterms:created>
  <dcterms:modified xsi:type="dcterms:W3CDTF">2024-04-29T02:12:00Z</dcterms:modified>
</cp:coreProperties>
</file>